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4027" w14:textId="77777777" w:rsidR="00013D3D" w:rsidRPr="00F70222" w:rsidRDefault="00013D3D" w:rsidP="00013D3D">
      <w:pPr>
        <w:pStyle w:val="Heading1"/>
        <w:spacing w:after="0"/>
      </w:pPr>
    </w:p>
    <w:p w14:paraId="62B77D2A" w14:textId="20FFBFEA" w:rsidR="00013D3D" w:rsidRPr="00F70222" w:rsidRDefault="00013D3D" w:rsidP="00013D3D">
      <w:pPr>
        <w:pStyle w:val="Heading1"/>
        <w:rPr>
          <w:rFonts w:ascii="Times New Roman" w:hAnsi="Times New Roman" w:cs="Times New Roman"/>
        </w:rPr>
      </w:pPr>
      <w:r w:rsidRPr="00F70222">
        <w:rPr>
          <w:rFonts w:ascii="Times New Roman" w:hAnsi="Times New Roman"/>
        </w:rPr>
        <w:t xml:space="preserve">Carta </w:t>
      </w:r>
      <w:r w:rsidR="009F3E86">
        <w:rPr>
          <w:rFonts w:ascii="Times New Roman" w:hAnsi="Times New Roman"/>
        </w:rPr>
        <w:t>sobre la</w:t>
      </w:r>
      <w:r w:rsidRPr="00F70222">
        <w:rPr>
          <w:rFonts w:ascii="Times New Roman" w:hAnsi="Times New Roman"/>
        </w:rPr>
        <w:t xml:space="preserve"> </w:t>
      </w:r>
      <w:r w:rsidR="009F3E86">
        <w:rPr>
          <w:rFonts w:ascii="Times New Roman" w:hAnsi="Times New Roman"/>
        </w:rPr>
        <w:t>D</w:t>
      </w:r>
      <w:r w:rsidRPr="00F70222">
        <w:rPr>
          <w:rFonts w:ascii="Times New Roman" w:hAnsi="Times New Roman"/>
        </w:rPr>
        <w:t xml:space="preserve">ecisión de </w:t>
      </w:r>
      <w:r w:rsidR="009F3E86">
        <w:rPr>
          <w:rFonts w:ascii="Times New Roman" w:hAnsi="Times New Roman"/>
        </w:rPr>
        <w:t>C</w:t>
      </w:r>
      <w:r w:rsidRPr="00F70222">
        <w:rPr>
          <w:rFonts w:ascii="Times New Roman" w:hAnsi="Times New Roman"/>
        </w:rPr>
        <w:t>obertura</w:t>
      </w:r>
    </w:p>
    <w:p w14:paraId="1C692739" w14:textId="1023365F" w:rsidR="00DD616F" w:rsidRPr="00F70222" w:rsidRDefault="00DD616F" w:rsidP="00DD616F">
      <w:pPr>
        <w:pStyle w:val="Heading1"/>
        <w:shd w:val="clear" w:color="auto" w:fill="FFFFFF"/>
        <w:spacing w:before="161" w:after="161"/>
        <w:rPr>
          <w:rFonts w:ascii="Times New Roman" w:hAnsi="Times New Roman" w:cs="Times New Roman"/>
          <w:iCs/>
          <w:color w:val="548DD4" w:themeColor="text2" w:themeTint="99"/>
          <w:sz w:val="24"/>
          <w:szCs w:val="24"/>
        </w:rPr>
      </w:pPr>
      <w:r w:rsidRPr="00F70222">
        <w:rPr>
          <w:rFonts w:ascii="Times New Roman" w:hAnsi="Times New Roman"/>
          <w:b w:val="0"/>
          <w:bCs w:val="0"/>
          <w:iCs/>
          <w:color w:val="548DD4" w:themeColor="text2" w:themeTint="99"/>
          <w:sz w:val="24"/>
          <w:szCs w:val="24"/>
        </w:rPr>
        <w:t>[IMPORTANTE: Si necesita ayuda con este aviso, llame a &lt;</w:t>
      </w:r>
      <w:r w:rsidR="00674360" w:rsidRPr="00F70222">
        <w:rPr>
          <w:rFonts w:ascii="Times New Roman" w:hAnsi="Times New Roman" w:cs="Times New Roman"/>
          <w:b w:val="0"/>
          <w:bCs w:val="0"/>
          <w:iCs/>
          <w:color w:val="548DD4" w:themeColor="text2" w:themeTint="99"/>
          <w:sz w:val="24"/>
          <w:szCs w:val="24"/>
        </w:rPr>
        <w:t>Nombre de la Asociación de Médicos Independientes (</w:t>
      </w:r>
      <w:proofErr w:type="spellStart"/>
      <w:r w:rsidR="00674360" w:rsidRPr="00F70222">
        <w:rPr>
          <w:rFonts w:ascii="Times New Roman" w:hAnsi="Times New Roman" w:cs="Times New Roman"/>
          <w:b w:val="0"/>
          <w:bCs w:val="0"/>
          <w:iCs/>
          <w:color w:val="548DD4" w:themeColor="text2" w:themeTint="99"/>
          <w:sz w:val="24"/>
          <w:szCs w:val="24"/>
        </w:rPr>
        <w:t>Independent</w:t>
      </w:r>
      <w:proofErr w:type="spellEnd"/>
      <w:r w:rsidR="00674360" w:rsidRPr="00F70222">
        <w:rPr>
          <w:rFonts w:ascii="Times New Roman" w:hAnsi="Times New Roman" w:cs="Times New Roman"/>
          <w:b w:val="0"/>
          <w:bCs w:val="0"/>
          <w:iCs/>
          <w:color w:val="548DD4" w:themeColor="text2" w:themeTint="99"/>
          <w:sz w:val="24"/>
          <w:szCs w:val="24"/>
        </w:rPr>
        <w:t xml:space="preserve"> </w:t>
      </w:r>
      <w:proofErr w:type="spellStart"/>
      <w:r w:rsidR="00674360" w:rsidRPr="00F70222">
        <w:rPr>
          <w:rFonts w:ascii="Times New Roman" w:hAnsi="Times New Roman" w:cs="Times New Roman"/>
          <w:b w:val="0"/>
          <w:bCs w:val="0"/>
          <w:iCs/>
          <w:color w:val="548DD4" w:themeColor="text2" w:themeTint="99"/>
          <w:sz w:val="24"/>
          <w:szCs w:val="24"/>
        </w:rPr>
        <w:t>Practice</w:t>
      </w:r>
      <w:proofErr w:type="spellEnd"/>
      <w:r w:rsidR="00674360" w:rsidRPr="00F70222">
        <w:rPr>
          <w:rFonts w:ascii="Times New Roman" w:hAnsi="Times New Roman" w:cs="Times New Roman"/>
          <w:b w:val="0"/>
          <w:bCs w:val="0"/>
          <w:iCs/>
          <w:color w:val="548DD4" w:themeColor="text2" w:themeTint="99"/>
          <w:sz w:val="24"/>
          <w:szCs w:val="24"/>
        </w:rPr>
        <w:t xml:space="preserve"> </w:t>
      </w:r>
      <w:proofErr w:type="spellStart"/>
      <w:r w:rsidR="00674360" w:rsidRPr="00F70222">
        <w:rPr>
          <w:rFonts w:ascii="Times New Roman" w:hAnsi="Times New Roman" w:cs="Times New Roman"/>
          <w:b w:val="0"/>
          <w:bCs w:val="0"/>
          <w:iCs/>
          <w:color w:val="548DD4" w:themeColor="text2" w:themeTint="99"/>
          <w:sz w:val="24"/>
          <w:szCs w:val="24"/>
        </w:rPr>
        <w:t>Association</w:t>
      </w:r>
      <w:proofErr w:type="spellEnd"/>
      <w:r w:rsidR="00674360" w:rsidRPr="00F70222">
        <w:rPr>
          <w:rFonts w:ascii="Times New Roman" w:hAnsi="Times New Roman" w:cs="Times New Roman"/>
          <w:b w:val="0"/>
          <w:bCs w:val="0"/>
          <w:iCs/>
          <w:color w:val="548DD4" w:themeColor="text2" w:themeTint="99"/>
          <w:sz w:val="24"/>
          <w:szCs w:val="24"/>
        </w:rPr>
        <w:t>, IPA)</w:t>
      </w:r>
      <w:r w:rsidRPr="00F70222">
        <w:rPr>
          <w:rFonts w:ascii="Times New Roman" w:hAnsi="Times New Roman"/>
          <w:b w:val="0"/>
          <w:bCs w:val="0"/>
          <w:iCs/>
          <w:color w:val="548DD4" w:themeColor="text2" w:themeTint="99"/>
          <w:sz w:val="24"/>
          <w:szCs w:val="24"/>
        </w:rPr>
        <w:t>&gt; al</w:t>
      </w:r>
      <w:r w:rsidRPr="00F70222">
        <w:rPr>
          <w:rFonts w:ascii="Times New Roman" w:hAnsi="Times New Roman"/>
          <w:b w:val="0"/>
          <w:bCs w:val="0"/>
          <w:iCs/>
          <w:color w:val="548DD4" w:themeColor="text2" w:themeTint="99"/>
          <w:sz w:val="24"/>
          <w:szCs w:val="24"/>
        </w:rPr>
        <w:br/>
        <w:t>&lt;</w:t>
      </w:r>
      <w:r w:rsidR="00674360" w:rsidRPr="00F70222">
        <w:rPr>
          <w:rFonts w:ascii="Times New Roman" w:hAnsi="Times New Roman" w:cs="Times New Roman"/>
          <w:b w:val="0"/>
          <w:bCs w:val="0"/>
          <w:iCs/>
          <w:color w:val="548DD4" w:themeColor="text2" w:themeTint="99"/>
          <w:sz w:val="24"/>
          <w:szCs w:val="24"/>
        </w:rPr>
        <w:t>inserte el número de teléfono del servicio de atención al cliente de la IPA</w:t>
      </w:r>
      <w:r w:rsidRPr="00F70222">
        <w:rPr>
          <w:rFonts w:ascii="Times New Roman" w:hAnsi="Times New Roman"/>
          <w:b w:val="0"/>
          <w:bCs w:val="0"/>
          <w:iCs/>
          <w:color w:val="548DD4" w:themeColor="text2" w:themeTint="99"/>
          <w:sz w:val="24"/>
          <w:szCs w:val="24"/>
        </w:rPr>
        <w:t>&gt; (TTY: &lt;</w:t>
      </w:r>
      <w:r w:rsidR="00635334" w:rsidRPr="00F70222">
        <w:rPr>
          <w:rFonts w:ascii="Times New Roman" w:hAnsi="Times New Roman" w:cs="Times New Roman"/>
          <w:b w:val="0"/>
          <w:bCs w:val="0"/>
          <w:iCs/>
          <w:color w:val="548DD4" w:themeColor="text2" w:themeTint="99"/>
          <w:sz w:val="24"/>
          <w:szCs w:val="24"/>
        </w:rPr>
        <w:t>Número TTY</w:t>
      </w:r>
      <w:r w:rsidRPr="00F70222">
        <w:rPr>
          <w:rFonts w:ascii="Times New Roman" w:hAnsi="Times New Roman"/>
          <w:b w:val="0"/>
          <w:bCs w:val="0"/>
          <w:iCs/>
          <w:color w:val="548DD4" w:themeColor="text2" w:themeTint="99"/>
          <w:sz w:val="24"/>
          <w:szCs w:val="24"/>
        </w:rPr>
        <w:t xml:space="preserve">&gt;) </w:t>
      </w:r>
      <w:r w:rsidRPr="00F70222">
        <w:rPr>
          <w:rFonts w:ascii="Times New Roman" w:hAnsi="Times New Roman"/>
          <w:color w:val="548DD4" w:themeColor="text2" w:themeTint="99"/>
          <w:sz w:val="24"/>
        </w:rPr>
        <w:t>O</w:t>
      </w:r>
      <w:r w:rsidRPr="00F70222">
        <w:rPr>
          <w:rFonts w:ascii="Times New Roman" w:hAnsi="Times New Roman"/>
          <w:iCs/>
          <w:color w:val="548DD4" w:themeColor="text2" w:themeTint="99"/>
          <w:sz w:val="24"/>
          <w:szCs w:val="24"/>
        </w:rPr>
        <w:br/>
      </w:r>
      <w:r w:rsidRPr="00F70222">
        <w:rPr>
          <w:rFonts w:ascii="Times New Roman" w:hAnsi="Times New Roman"/>
          <w:color w:val="548DD4" w:themeColor="text2" w:themeTint="99"/>
          <w:sz w:val="24"/>
        </w:rPr>
        <w:t xml:space="preserve"> a la Oficina del Ombudsman de Atención Administrada y Salud Mental de Medi-Cal (</w:t>
      </w:r>
      <w:r w:rsidRPr="00F70222">
        <w:rPr>
          <w:rFonts w:ascii="Times New Roman" w:hAnsi="Times New Roman"/>
          <w:i/>
          <w:iCs/>
          <w:color w:val="548DD4" w:themeColor="text2" w:themeTint="99"/>
          <w:sz w:val="24"/>
        </w:rPr>
        <w:t xml:space="preserve">Medi-Cal </w:t>
      </w:r>
      <w:proofErr w:type="spellStart"/>
      <w:r w:rsidRPr="00F70222">
        <w:rPr>
          <w:rFonts w:ascii="Times New Roman" w:hAnsi="Times New Roman"/>
          <w:i/>
          <w:iCs/>
          <w:color w:val="548DD4" w:themeColor="text2" w:themeTint="99"/>
          <w:sz w:val="24"/>
        </w:rPr>
        <w:t>Managed</w:t>
      </w:r>
      <w:proofErr w:type="spellEnd"/>
      <w:r w:rsidRPr="00F70222">
        <w:rPr>
          <w:rFonts w:ascii="Times New Roman" w:hAnsi="Times New Roman"/>
          <w:i/>
          <w:iCs/>
          <w:color w:val="548DD4" w:themeColor="text2" w:themeTint="99"/>
          <w:sz w:val="24"/>
        </w:rPr>
        <w:t xml:space="preserve"> Care and Mental Health, MMCD</w:t>
      </w:r>
      <w:r w:rsidRPr="00F70222">
        <w:rPr>
          <w:rFonts w:ascii="Times New Roman" w:hAnsi="Times New Roman"/>
          <w:color w:val="548DD4" w:themeColor="text2" w:themeTint="99"/>
          <w:sz w:val="24"/>
        </w:rPr>
        <w:t xml:space="preserve">) al </w:t>
      </w:r>
      <w:r w:rsidRPr="00F70222">
        <w:rPr>
          <w:rFonts w:ascii="Times New Roman" w:hAnsi="Times New Roman"/>
          <w:iCs/>
          <w:color w:val="548DD4" w:themeColor="text2" w:themeTint="99"/>
          <w:sz w:val="24"/>
          <w:szCs w:val="24"/>
        </w:rPr>
        <w:br/>
      </w:r>
      <w:r w:rsidRPr="00F70222">
        <w:rPr>
          <w:rFonts w:ascii="Times New Roman" w:hAnsi="Times New Roman"/>
          <w:color w:val="548DD4" w:themeColor="text2" w:themeTint="99"/>
          <w:sz w:val="24"/>
        </w:rPr>
        <w:t>1-888-452-8609 (TTY: 1-800-719-5798)].</w:t>
      </w:r>
    </w:p>
    <w:p w14:paraId="34498E66" w14:textId="77777777" w:rsidR="00013D3D" w:rsidRPr="00F70222" w:rsidRDefault="00013D3D" w:rsidP="00013D3D">
      <w:pPr>
        <w:contextualSpacing/>
        <w:rPr>
          <w:rFonts w:cs="Times New Roman"/>
        </w:rPr>
      </w:pPr>
      <w:r w:rsidRPr="00F70222">
        <w:tab/>
      </w:r>
      <w:r w:rsidRPr="00F70222">
        <w:tab/>
      </w:r>
      <w:r w:rsidRPr="00F70222">
        <w:tab/>
      </w:r>
      <w:r w:rsidRPr="00F70222">
        <w:tab/>
      </w:r>
      <w:r w:rsidRPr="00F70222">
        <w:tab/>
      </w:r>
      <w:r w:rsidRPr="00F70222">
        <w:tab/>
      </w:r>
      <w:r w:rsidRPr="00F70222">
        <w:tab/>
      </w:r>
      <w:r w:rsidRPr="00F70222">
        <w:tab/>
      </w:r>
      <w:r w:rsidRPr="00F70222">
        <w:tab/>
      </w:r>
    </w:p>
    <w:p w14:paraId="04E8A63E" w14:textId="77777777" w:rsidR="00013D3D" w:rsidRPr="00F70222" w:rsidRDefault="00013D3D" w:rsidP="00013D3D">
      <w:pPr>
        <w:contextualSpacing/>
        <w:rPr>
          <w:rFonts w:cs="Times New Roman"/>
        </w:rPr>
      </w:pPr>
      <w:r w:rsidRPr="00F70222">
        <w:t>N.º de identificación del plan de salud del miembro: &lt;&lt;</w:t>
      </w:r>
      <w:proofErr w:type="spellStart"/>
      <w:r w:rsidRPr="00F70222">
        <w:t>Member</w:t>
      </w:r>
      <w:proofErr w:type="spellEnd"/>
      <w:r w:rsidRPr="00F70222">
        <w:t xml:space="preserve"> ID&gt;&gt;</w:t>
      </w:r>
    </w:p>
    <w:p w14:paraId="6C3E3B10" w14:textId="77777777" w:rsidR="00013D3D" w:rsidRPr="00F70222" w:rsidRDefault="00013D3D" w:rsidP="00013D3D">
      <w:pPr>
        <w:contextualSpacing/>
        <w:rPr>
          <w:rFonts w:cs="Times New Roman"/>
        </w:rPr>
      </w:pPr>
    </w:p>
    <w:p w14:paraId="2A6CCAE7" w14:textId="77777777" w:rsidR="00013D3D" w:rsidRPr="00F70222" w:rsidRDefault="00013D3D" w:rsidP="00013D3D">
      <w:pPr>
        <w:contextualSpacing/>
        <w:rPr>
          <w:rFonts w:cs="Times New Roman"/>
        </w:rPr>
      </w:pPr>
      <w:r w:rsidRPr="00F70222">
        <w:t xml:space="preserve">Servicio/artículo sobre el que trata esta carta: </w:t>
      </w:r>
    </w:p>
    <w:p w14:paraId="2AB0BD96" w14:textId="77777777" w:rsidR="00013D3D" w:rsidRPr="00F70222" w:rsidRDefault="00013D3D" w:rsidP="00013D3D">
      <w:pPr>
        <w:contextualSpacing/>
        <w:rPr>
          <w:rFonts w:cs="Times New Roman"/>
        </w:rPr>
      </w:pPr>
    </w:p>
    <w:p w14:paraId="5965E9C6" w14:textId="77777777" w:rsidR="00013D3D" w:rsidRPr="00F70222" w:rsidRDefault="00013D3D" w:rsidP="00013D3D">
      <w:pPr>
        <w:contextualSpacing/>
        <w:rPr>
          <w:rFonts w:cs="Times New Roman"/>
        </w:rPr>
      </w:pPr>
      <w:r w:rsidRPr="00F70222">
        <w:t xml:space="preserve">Número de referencia:                                                                                  </w:t>
      </w:r>
    </w:p>
    <w:p w14:paraId="06EB6562" w14:textId="77777777" w:rsidR="00013D3D" w:rsidRPr="00F70222" w:rsidRDefault="00013D3D" w:rsidP="00013D3D">
      <w:pPr>
        <w:spacing w:line="300" w:lineRule="exact"/>
        <w:rPr>
          <w:rFonts w:cs="Times New Roman"/>
          <w:color w:val="auto"/>
        </w:rPr>
      </w:pPr>
    </w:p>
    <w:p w14:paraId="25D84511" w14:textId="0EF12C48" w:rsidR="00211A99" w:rsidRPr="00F70222" w:rsidRDefault="00013D3D" w:rsidP="00013D3D">
      <w:pPr>
        <w:spacing w:after="200" w:line="300" w:lineRule="exact"/>
        <w:rPr>
          <w:rFonts w:cs="Times New Roman"/>
        </w:rPr>
      </w:pPr>
      <w:r w:rsidRPr="00F70222">
        <w:rPr>
          <w:color w:val="auto"/>
        </w:rPr>
        <w:t>En esta carta "nuestro plan" y "nosotros" se refieren a IEHP DualChoice (HMO D-SNP). Somos un plan de salud que tiene contrato con Medicare y Medi-Cal para brindar la cobertura de ambos programas. Nuestro plan coordina sus servicios de Medicare y Medi-Cal y sus doctores, hospitales, farmacias y otros proveedores de atención médica.</w:t>
      </w:r>
    </w:p>
    <w:p w14:paraId="5876EC1F" w14:textId="77975ABC" w:rsidR="005557BD" w:rsidRPr="00F70222" w:rsidRDefault="005557BD" w:rsidP="00C3038C">
      <w:pPr>
        <w:pStyle w:val="Heading3"/>
        <w:rPr>
          <w:rFonts w:ascii="Times New Roman" w:hAnsi="Times New Roman" w:cs="Times New Roman"/>
          <w:sz w:val="24"/>
          <w:szCs w:val="24"/>
        </w:rPr>
      </w:pPr>
      <w:r w:rsidRPr="00F70222">
        <w:rPr>
          <w:rFonts w:ascii="Times New Roman" w:hAnsi="Times New Roman"/>
          <w:sz w:val="24"/>
        </w:rPr>
        <w:t xml:space="preserve">Nuestro plan </w:t>
      </w:r>
      <w:r w:rsidRPr="00F70222">
        <w:rPr>
          <w:rFonts w:ascii="Times New Roman" w:hAnsi="Times New Roman"/>
          <w:b w:val="0"/>
          <w:sz w:val="24"/>
          <w:szCs w:val="24"/>
        </w:rPr>
        <w:t>&lt;</w:t>
      </w:r>
      <w:r w:rsidRPr="00F70222">
        <w:rPr>
          <w:rFonts w:ascii="Times New Roman" w:hAnsi="Times New Roman"/>
          <w:sz w:val="24"/>
        </w:rPr>
        <w:t xml:space="preserve">denegó </w:t>
      </w:r>
      <w:r w:rsidR="00F70222" w:rsidRPr="00F70222">
        <w:rPr>
          <w:rFonts w:ascii="Times New Roman" w:hAnsi="Times New Roman" w:cs="Times New Roman"/>
          <w:b w:val="0"/>
          <w:i/>
          <w:color w:val="548DD4"/>
          <w:sz w:val="24"/>
          <w:szCs w:val="24"/>
        </w:rPr>
        <w:t>o</w:t>
      </w:r>
      <w:r w:rsidRPr="00F70222">
        <w:rPr>
          <w:rFonts w:ascii="Times New Roman" w:hAnsi="Times New Roman"/>
          <w:sz w:val="24"/>
        </w:rPr>
        <w:t xml:space="preserve"> denegó parcialmente </w:t>
      </w:r>
      <w:r w:rsidR="00F70222" w:rsidRPr="00F70222">
        <w:rPr>
          <w:rFonts w:ascii="Times New Roman" w:hAnsi="Times New Roman" w:cs="Times New Roman"/>
          <w:b w:val="0"/>
          <w:i/>
          <w:color w:val="548DD4"/>
          <w:sz w:val="24"/>
          <w:szCs w:val="24"/>
        </w:rPr>
        <w:t>o</w:t>
      </w:r>
      <w:r w:rsidRPr="00F70222">
        <w:rPr>
          <w:rFonts w:ascii="Times New Roman" w:hAnsi="Times New Roman"/>
          <w:sz w:val="24"/>
        </w:rPr>
        <w:t xml:space="preserve"> redujo </w:t>
      </w:r>
      <w:r w:rsidR="00F70222" w:rsidRPr="00F70222">
        <w:rPr>
          <w:rFonts w:ascii="Times New Roman" w:hAnsi="Times New Roman" w:cs="Times New Roman"/>
          <w:b w:val="0"/>
          <w:i/>
          <w:color w:val="548DD4"/>
          <w:sz w:val="24"/>
          <w:szCs w:val="24"/>
        </w:rPr>
        <w:t>o</w:t>
      </w:r>
      <w:r w:rsidRPr="00F70222">
        <w:rPr>
          <w:rFonts w:ascii="Times New Roman" w:hAnsi="Times New Roman"/>
          <w:sz w:val="24"/>
        </w:rPr>
        <w:t xml:space="preserve"> interrumpió </w:t>
      </w:r>
      <w:r w:rsidR="00F70222" w:rsidRPr="00F70222">
        <w:rPr>
          <w:rFonts w:ascii="Times New Roman" w:hAnsi="Times New Roman" w:cs="Times New Roman"/>
          <w:b w:val="0"/>
          <w:i/>
          <w:color w:val="548DD4"/>
          <w:sz w:val="24"/>
          <w:szCs w:val="24"/>
        </w:rPr>
        <w:t>o</w:t>
      </w:r>
      <w:r w:rsidRPr="00F70222">
        <w:rPr>
          <w:rFonts w:ascii="Times New Roman" w:hAnsi="Times New Roman"/>
          <w:sz w:val="24"/>
        </w:rPr>
        <w:t xml:space="preserve"> suspendió</w:t>
      </w:r>
      <w:r w:rsidRPr="00F70222">
        <w:rPr>
          <w:rFonts w:ascii="Times New Roman" w:hAnsi="Times New Roman"/>
          <w:b w:val="0"/>
          <w:sz w:val="24"/>
          <w:szCs w:val="24"/>
        </w:rPr>
        <w:t xml:space="preserve">&gt; </w:t>
      </w:r>
      <w:r w:rsidRPr="00F70222">
        <w:rPr>
          <w:rFonts w:ascii="Times New Roman" w:hAnsi="Times New Roman"/>
          <w:sz w:val="24"/>
        </w:rPr>
        <w:t>el servicio que se detalla a continuación:</w:t>
      </w:r>
    </w:p>
    <w:p w14:paraId="1B3841E4" w14:textId="08C01A7E" w:rsidR="00AE3425" w:rsidRPr="00F70222" w:rsidRDefault="00AE3425" w:rsidP="00AE3425">
      <w:pPr>
        <w:pStyle w:val="Body1"/>
        <w:spacing w:after="200" w:line="300" w:lineRule="exact"/>
        <w:ind w:right="720"/>
        <w:rPr>
          <w:rFonts w:cs="Times New Roman"/>
          <w:color w:val="548DD4"/>
        </w:rPr>
      </w:pPr>
      <w:r w:rsidRPr="00F70222">
        <w:rPr>
          <w:color w:val="548DD4"/>
        </w:rPr>
        <w:t>[</w:t>
      </w:r>
      <w:r w:rsidR="007F0DCF" w:rsidRPr="007F0DCF">
        <w:rPr>
          <w:rFonts w:cs="Times New Roman"/>
          <w:i/>
          <w:color w:val="548DD4"/>
        </w:rPr>
        <w:t xml:space="preserve">Introduzca una descripción del servicio que incluya el monto, la duración y el alcance de lo que solicitó el afiliado (por ejemplo, consultas de terapia física dos veces a la semana durante un año) y el resultado, o artículo que se está denegando, denegando parcialmente, reduciendo, interrumpiendo, suspendiendo o cambiando, e incluya el nombre del doctor o proveedor si un doctor o proveedor en particular solicitó el servicio </w:t>
      </w:r>
      <w:r w:rsidR="007F0DCF" w:rsidRPr="007F0DCF">
        <w:rPr>
          <w:rFonts w:cs="Times New Roman"/>
          <w:i/>
          <w:color w:val="548DD4"/>
        </w:rPr>
        <w:lastRenderedPageBreak/>
        <w:t>o artículo.</w:t>
      </w:r>
      <w:r w:rsidR="00187CBB" w:rsidRPr="00187CBB">
        <w:t xml:space="preserve"> </w:t>
      </w:r>
      <w:r w:rsidR="00187CBB" w:rsidRPr="00187CBB">
        <w:rPr>
          <w:rFonts w:cs="Times New Roman"/>
          <w:i/>
          <w:color w:val="548DD4" w:themeColor="text2" w:themeTint="99"/>
        </w:rPr>
        <w:t>Si una solicitud de servicio o artículo se deniega parcialmente, se reduce o se cambia, incluya específicamente lo que se solicitó y lo que se aprobó (por ejemplo, aprobamos servicios de acupuntura por tres meses en lugar de un año completo o aprobamos mover un inodoro a la pared sur en lugar de a la pared este del baño o antes aprobamos 18 visitas para acupuntura al año, pero ahora estamos reduciendo las visitas para permitir solo 10)].</w:t>
      </w:r>
    </w:p>
    <w:p w14:paraId="00F62B73" w14:textId="023DC865" w:rsidR="00AE3425" w:rsidRPr="00F70222" w:rsidRDefault="00AE3425" w:rsidP="00AE3425">
      <w:pPr>
        <w:rPr>
          <w:rStyle w:val="eop"/>
          <w:rFonts w:cs="Times New Roman"/>
          <w:color w:val="548DD4" w:themeColor="text2" w:themeTint="99"/>
          <w:shd w:val="clear" w:color="auto" w:fill="FFFFFF"/>
        </w:rPr>
      </w:pPr>
      <w:r w:rsidRPr="00F70222">
        <w:rPr>
          <w:rStyle w:val="normaltextrun"/>
          <w:color w:val="548DD4" w:themeColor="text2" w:themeTint="99"/>
          <w:shd w:val="clear" w:color="auto" w:fill="FFFFFF"/>
        </w:rPr>
        <w:t>[</w:t>
      </w:r>
      <w:r w:rsidR="001C4AC1" w:rsidRPr="001C4AC1">
        <w:rPr>
          <w:rStyle w:val="normaltextrun"/>
          <w:rFonts w:cs="Times New Roman"/>
          <w:color w:val="548DD4" w:themeColor="text2" w:themeTint="99"/>
          <w:shd w:val="clear" w:color="auto" w:fill="FFFFFF"/>
        </w:rPr>
        <w:t>Indique si se trata de un caso posterior al servicio por el cual no existe ninguna responsabilidad para el miembro</w:t>
      </w:r>
      <w:r w:rsidRPr="00F70222">
        <w:rPr>
          <w:rStyle w:val="normaltextrun"/>
          <w:color w:val="548DD4" w:themeColor="text2" w:themeTint="99"/>
          <w:shd w:val="clear" w:color="auto" w:fill="FFFFFF"/>
        </w:rPr>
        <w:t>: </w:t>
      </w:r>
      <w:r w:rsidRPr="00F70222">
        <w:rPr>
          <w:rStyle w:val="normaltextrun"/>
          <w:b/>
          <w:color w:val="548DD4" w:themeColor="text2" w:themeTint="99"/>
          <w:shd w:val="clear" w:color="auto" w:fill="FFFFFF"/>
        </w:rPr>
        <w:t>tenga en cuenta que no se le cobrará ni se le deberá dinero por este servicio</w:t>
      </w:r>
      <w:r w:rsidRPr="00F70222">
        <w:rPr>
          <w:rStyle w:val="normaltextrun"/>
          <w:color w:val="548DD4" w:themeColor="text2" w:themeTint="99"/>
          <w:shd w:val="clear" w:color="auto" w:fill="FFFFFF"/>
        </w:rPr>
        <w:t>].</w:t>
      </w:r>
      <w:r w:rsidRPr="00F70222">
        <w:rPr>
          <w:rStyle w:val="eop"/>
          <w:color w:val="548DD4" w:themeColor="text2" w:themeTint="99"/>
          <w:shd w:val="clear" w:color="auto" w:fill="FFFFFF"/>
        </w:rPr>
        <w:t> </w:t>
      </w:r>
    </w:p>
    <w:p w14:paraId="7A4A6BB1" w14:textId="77777777" w:rsidR="00AE3425" w:rsidRPr="00F70222" w:rsidRDefault="00AE3425" w:rsidP="00AE3425"/>
    <w:p w14:paraId="5DCA9EBD" w14:textId="313875EE" w:rsidR="00AE3425" w:rsidRPr="00F70222" w:rsidRDefault="00444226" w:rsidP="00AE3425">
      <w:pPr>
        <w:pStyle w:val="Body1"/>
        <w:spacing w:after="200" w:line="300" w:lineRule="exact"/>
        <w:rPr>
          <w:rFonts w:cs="Times New Roman"/>
          <w:color w:val="auto"/>
        </w:rPr>
      </w:pPr>
      <w:r w:rsidRPr="00F70222">
        <w:t xml:space="preserve">Nuestro plan </w:t>
      </w:r>
      <w:r w:rsidR="00211A99" w:rsidRPr="00F70222">
        <w:rPr>
          <w:color w:val="auto"/>
        </w:rPr>
        <w:t xml:space="preserve">tomó esta decisión </w:t>
      </w:r>
      <w:r w:rsidRPr="00F70222">
        <w:t xml:space="preserve">porque </w:t>
      </w:r>
      <w:r w:rsidR="00AE3425" w:rsidRPr="00F70222">
        <w:rPr>
          <w:color w:val="548DD4"/>
        </w:rPr>
        <w:t>[</w:t>
      </w:r>
      <w:r w:rsidR="00EB659D">
        <w:rPr>
          <w:rFonts w:cs="Times New Roman"/>
          <w:i/>
          <w:color w:val="548DD4"/>
        </w:rPr>
        <w:t>P</w:t>
      </w:r>
      <w:r w:rsidR="00EB659D" w:rsidRPr="00EB659D">
        <w:rPr>
          <w:rFonts w:cs="Times New Roman"/>
          <w:i/>
          <w:color w:val="548DD4"/>
        </w:rPr>
        <w:t>roporcione una razón específica para la denegación y una explicación concisa de por qué se denegó el servicio e incluya la ley estatal o federal, o las disposiciones de la Evidencia de Cobertura/Manual para Miembros o Afiliados que respaldan la decisión en un lenguaje sencillo.</w:t>
      </w:r>
      <w:r w:rsidR="00EB659D" w:rsidRPr="00EB659D">
        <w:t xml:space="preserve"> </w:t>
      </w:r>
      <w:r w:rsidR="00EB659D" w:rsidRPr="00EB659D">
        <w:rPr>
          <w:rFonts w:cs="Times New Roman"/>
          <w:i/>
          <w:color w:val="548DD4"/>
        </w:rPr>
        <w:t>La explicación de la decisión debe incluir en un lenguaje sencillo: (1) el contexto pertinente para la decisión (por ejemplo, si el servicio fue aprobado para el afiliado en el pasado, la descripción debe incluir qué se aprobó previamente, cuándo se aprobó y por quién, y qué ha cambiado o es diferente ahora); (2) la información de cobertura considerada, incluidos los beneficios de cobertura de Medicare y Medi-Cal, y, (3) si corresponde, información sobre cómo o por qué las necesidades del afiliado no justifican el servicio o artículo solicitado; consulte las instrucciones para obtener más información].</w:t>
      </w:r>
    </w:p>
    <w:p w14:paraId="7AAD641E" w14:textId="399CA6A9" w:rsidR="00AE3425" w:rsidRPr="00F70222" w:rsidRDefault="00AE3425" w:rsidP="00AE3425">
      <w:pPr>
        <w:pStyle w:val="Body1"/>
        <w:spacing w:after="200" w:line="300" w:lineRule="exact"/>
        <w:rPr>
          <w:rFonts w:cs="Times New Roman"/>
          <w:b/>
          <w:color w:val="auto"/>
        </w:rPr>
      </w:pPr>
      <w:r w:rsidRPr="00F70222">
        <w:rPr>
          <w:color w:val="548DD4"/>
        </w:rPr>
        <w:t>[</w:t>
      </w:r>
      <w:r w:rsidR="0067373A" w:rsidRPr="0067373A">
        <w:rPr>
          <w:rFonts w:cs="Times New Roman"/>
          <w:i/>
          <w:color w:val="548DD4"/>
        </w:rPr>
        <w:t>Indique si la denegación dará lugar a una interrupción, suspensión o reducción de un servicio que la persona ya ha estado recibiendo</w:t>
      </w:r>
      <w:r w:rsidRPr="00F70222">
        <w:rPr>
          <w:i/>
          <w:color w:val="548DD4"/>
        </w:rPr>
        <w:t>:</w:t>
      </w:r>
      <w:r w:rsidRPr="00F70222">
        <w:rPr>
          <w:b/>
          <w:color w:val="548DD4"/>
        </w:rPr>
        <w:t xml:space="preserve"> Nuestro plan </w:t>
      </w:r>
      <w:r w:rsidRPr="00F70222">
        <w:rPr>
          <w:color w:val="548DD4"/>
        </w:rPr>
        <w:t>&lt;</w:t>
      </w:r>
      <w:r w:rsidRPr="00F70222">
        <w:rPr>
          <w:b/>
          <w:color w:val="548DD4"/>
        </w:rPr>
        <w:t xml:space="preserve">reducirá </w:t>
      </w:r>
      <w:r w:rsidR="00253C3D" w:rsidRPr="00F70222">
        <w:rPr>
          <w:rFonts w:cs="Times New Roman"/>
          <w:i/>
          <w:color w:val="548DD4"/>
        </w:rPr>
        <w:t>o</w:t>
      </w:r>
      <w:r w:rsidRPr="00F70222">
        <w:rPr>
          <w:i/>
          <w:color w:val="548DD4"/>
        </w:rPr>
        <w:t xml:space="preserve"> </w:t>
      </w:r>
      <w:r w:rsidRPr="00F70222">
        <w:rPr>
          <w:b/>
          <w:color w:val="548DD4"/>
        </w:rPr>
        <w:t>interrumpirá</w:t>
      </w:r>
      <w:r w:rsidRPr="00F70222">
        <w:rPr>
          <w:i/>
          <w:color w:val="548DD4"/>
        </w:rPr>
        <w:t xml:space="preserve"> </w:t>
      </w:r>
      <w:r w:rsidR="00253C3D" w:rsidRPr="00F70222">
        <w:rPr>
          <w:rFonts w:cs="Times New Roman"/>
          <w:i/>
          <w:color w:val="548DD4"/>
        </w:rPr>
        <w:t>o</w:t>
      </w:r>
      <w:r w:rsidRPr="00F70222">
        <w:rPr>
          <w:i/>
          <w:color w:val="548DD4"/>
        </w:rPr>
        <w:t xml:space="preserve"> </w:t>
      </w:r>
      <w:r w:rsidRPr="00F70222">
        <w:rPr>
          <w:b/>
          <w:color w:val="548DD4"/>
        </w:rPr>
        <w:t>suspenderá</w:t>
      </w:r>
      <w:r w:rsidRPr="00F70222">
        <w:rPr>
          <w:color w:val="548DD4"/>
        </w:rPr>
        <w:t>&gt;</w:t>
      </w:r>
      <w:r w:rsidRPr="00F70222">
        <w:rPr>
          <w:b/>
          <w:color w:val="548DD4"/>
        </w:rPr>
        <w:t xml:space="preserve"> su servicio el </w:t>
      </w:r>
      <w:r w:rsidRPr="00F70222">
        <w:rPr>
          <w:color w:val="548DD4"/>
        </w:rPr>
        <w:t>&lt;</w:t>
      </w:r>
      <w:r w:rsidR="00253C3D" w:rsidRPr="00253C3D">
        <w:rPr>
          <w:rFonts w:cs="Times New Roman"/>
          <w:b/>
          <w:color w:val="548DD4"/>
        </w:rPr>
        <w:t>fecha de vigencia</w:t>
      </w:r>
      <w:r w:rsidRPr="00F70222">
        <w:rPr>
          <w:color w:val="548DD4"/>
        </w:rPr>
        <w:t>&gt;</w:t>
      </w:r>
      <w:r w:rsidRPr="00F70222">
        <w:rPr>
          <w:b/>
          <w:color w:val="548DD4"/>
        </w:rPr>
        <w:t>.</w:t>
      </w:r>
      <w:r w:rsidR="00270C95">
        <w:rPr>
          <w:b/>
          <w:color w:val="548DD4"/>
        </w:rPr>
        <w:t xml:space="preserve"> </w:t>
      </w:r>
      <w:r w:rsidRPr="00F70222">
        <w:rPr>
          <w:color w:val="548DD4" w:themeColor="text2" w:themeTint="99"/>
        </w:rPr>
        <w:t>Consulte la sección "Cómo seguir recibiendo su servicio durante su apelación" más adelante en esta carta para obtener información sobre cómo continuar recibiendo su servicio durante su apelación].</w:t>
      </w:r>
    </w:p>
    <w:p w14:paraId="0778A499" w14:textId="5E071293" w:rsidR="00D7604A" w:rsidRPr="00F70222" w:rsidRDefault="0032085D" w:rsidP="00C3038C">
      <w:pPr>
        <w:pStyle w:val="Heading2"/>
        <w:rPr>
          <w:rFonts w:ascii="Times New Roman" w:hAnsi="Times New Roman" w:cs="Times New Roman"/>
        </w:rPr>
      </w:pPr>
      <w:r w:rsidRPr="00F70222">
        <w:rPr>
          <w:rFonts w:ascii="Times New Roman" w:hAnsi="Times New Roman"/>
        </w:rPr>
        <w:t>Usted tiene derecho a apelar nuestra decisión</w:t>
      </w:r>
    </w:p>
    <w:p w14:paraId="3AF186A1" w14:textId="66E553B1" w:rsidR="00946915" w:rsidRPr="00F70222" w:rsidRDefault="00FB2C9B" w:rsidP="00535837">
      <w:pPr>
        <w:pStyle w:val="Body1"/>
        <w:spacing w:after="200" w:line="300" w:lineRule="exact"/>
        <w:rPr>
          <w:rFonts w:cs="Times New Roman"/>
          <w:color w:val="auto"/>
        </w:rPr>
      </w:pPr>
      <w:r w:rsidRPr="00F70222">
        <w:rPr>
          <w:color w:val="auto"/>
        </w:rPr>
        <w:t>Puede apelar la decisión de nuestro plan. Comparta esta carta con su proveedor de atención médica y pregúntele sobre los siguientes pasos que debe dar. Si apela y nuestro plan cambia su decisión, podemos pagar el servicio.</w:t>
      </w:r>
    </w:p>
    <w:p w14:paraId="23F4B1AE" w14:textId="7732FB5F" w:rsidR="0098159F" w:rsidRPr="00F70222" w:rsidDel="00F86F67" w:rsidRDefault="0098159F" w:rsidP="00535837">
      <w:pPr>
        <w:pStyle w:val="Body1"/>
        <w:spacing w:after="200" w:line="300" w:lineRule="exact"/>
        <w:rPr>
          <w:rFonts w:cs="Times New Roman"/>
          <w:color w:val="auto"/>
        </w:rPr>
      </w:pPr>
      <w:r w:rsidRPr="00F70222">
        <w:t>También puede llamar al 1-877-273-IEHP (4347) (TTY: 1-800-718-4347) y pedirnos una copia gratuita de la información que usamos para tomar nuestra decisión. Esta puede incluir registros médicos, pautas y otros documentos. Debe mostrarle esta información a su proveedor de atención médica para ayudarle a decidir si debe usted apelar.</w:t>
      </w:r>
    </w:p>
    <w:p w14:paraId="4157F140" w14:textId="477BFA77" w:rsidR="00F62D24" w:rsidRPr="00F70222" w:rsidRDefault="00801418" w:rsidP="00535837">
      <w:pPr>
        <w:pStyle w:val="Body1"/>
        <w:spacing w:after="200" w:line="300" w:lineRule="exact"/>
        <w:rPr>
          <w:rFonts w:cs="Times New Roman"/>
          <w:b/>
        </w:rPr>
      </w:pPr>
      <w:r w:rsidRPr="00F70222">
        <w:rPr>
          <w:b/>
          <w:color w:val="auto"/>
        </w:rPr>
        <w:t xml:space="preserve">Debe apelar antes del </w:t>
      </w:r>
      <w:r w:rsidR="00F62D24" w:rsidRPr="00F70222">
        <w:rPr>
          <w:color w:val="548DD4"/>
        </w:rPr>
        <w:t>[</w:t>
      </w:r>
      <w:r w:rsidR="009F7640">
        <w:rPr>
          <w:rFonts w:cs="Times New Roman"/>
          <w:i/>
          <w:color w:val="548DD4"/>
        </w:rPr>
        <w:t>I</w:t>
      </w:r>
      <w:r w:rsidR="009F7640" w:rsidRPr="009F7640">
        <w:rPr>
          <w:rFonts w:cs="Times New Roman"/>
          <w:i/>
          <w:color w:val="548DD4"/>
        </w:rPr>
        <w:t>ntroduzca la fecha límite para la presentación de la apelación específica con el formato mes, fecha y año: 60 días del calendario a partir de la fecha de la carta.</w:t>
      </w:r>
      <w:r w:rsidR="009F7640" w:rsidRPr="009F7640">
        <w:t xml:space="preserve"> </w:t>
      </w:r>
      <w:r w:rsidR="009F7640" w:rsidRPr="009F7640">
        <w:rPr>
          <w:rFonts w:cs="Times New Roman"/>
          <w:i/>
          <w:color w:val="548DD4"/>
        </w:rPr>
        <w:t>Introduzca la fecha límite en negrita].</w:t>
      </w:r>
      <w:r w:rsidRPr="00F70222">
        <w:rPr>
          <w:color w:val="auto"/>
        </w:rPr>
        <w:t xml:space="preserve"> Nuestro plan puede darle más tiempo si tiene una razón justificada.</w:t>
      </w:r>
      <w:r w:rsidR="006F67EE" w:rsidRPr="00F70222">
        <w:t xml:space="preserve"> </w:t>
      </w:r>
    </w:p>
    <w:p w14:paraId="1B4535EC" w14:textId="5FD076DC" w:rsidR="00F62D24" w:rsidRPr="00F70222" w:rsidRDefault="00717B0C" w:rsidP="00C3038C">
      <w:pPr>
        <w:pStyle w:val="Heading2"/>
        <w:rPr>
          <w:rFonts w:ascii="Times New Roman" w:hAnsi="Times New Roman" w:cs="Times New Roman"/>
        </w:rPr>
      </w:pPr>
      <w:r w:rsidRPr="00F70222">
        <w:rPr>
          <w:rFonts w:ascii="Times New Roman" w:hAnsi="Times New Roman"/>
        </w:rPr>
        <w:t>Hay dos tipos de apelaciones</w:t>
      </w:r>
    </w:p>
    <w:p w14:paraId="2D7131CC" w14:textId="575EAFD1" w:rsidR="00F62D24" w:rsidRPr="00F70222" w:rsidRDefault="00E1241F" w:rsidP="00535837">
      <w:pPr>
        <w:pStyle w:val="Body1"/>
        <w:spacing w:after="200" w:line="300" w:lineRule="exact"/>
        <w:rPr>
          <w:rFonts w:cs="Times New Roman"/>
          <w:b/>
          <w:bCs/>
          <w:color w:val="auto"/>
        </w:rPr>
      </w:pPr>
      <w:r w:rsidRPr="00F70222">
        <w:rPr>
          <w:b/>
          <w:color w:val="auto"/>
        </w:rPr>
        <w:lastRenderedPageBreak/>
        <w:t>Nuestro plan tiene dos tipos de apelaciones: apelaciones estándar y apelaciones aceleradas.</w:t>
      </w:r>
      <w:r w:rsidR="00F62D24" w:rsidRPr="00F70222">
        <w:t xml:space="preserve"> </w:t>
      </w:r>
    </w:p>
    <w:p w14:paraId="0AA5094F" w14:textId="77777777" w:rsidR="00DD5ED1" w:rsidRPr="00F70222" w:rsidRDefault="00F62D24" w:rsidP="00DD5ED1">
      <w:pPr>
        <w:pStyle w:val="Body1"/>
        <w:numPr>
          <w:ilvl w:val="0"/>
          <w:numId w:val="45"/>
        </w:numPr>
        <w:spacing w:after="200" w:line="300" w:lineRule="exact"/>
        <w:rPr>
          <w:rFonts w:cs="Times New Roman"/>
          <w:color w:val="auto"/>
        </w:rPr>
      </w:pPr>
      <w:r w:rsidRPr="00F70222">
        <w:rPr>
          <w:color w:val="auto"/>
        </w:rPr>
        <w:t xml:space="preserve">Si pide una </w:t>
      </w:r>
      <w:r w:rsidRPr="00F70222">
        <w:rPr>
          <w:b/>
          <w:color w:val="auto"/>
        </w:rPr>
        <w:t>apelación estándar</w:t>
      </w:r>
      <w:r w:rsidRPr="00F70222">
        <w:rPr>
          <w:color w:val="auto"/>
        </w:rPr>
        <w:t>, nuestro plan le enviará una decisión por escrito dentro de los</w:t>
      </w:r>
      <w:r w:rsidR="005768C9" w:rsidRPr="00F70222">
        <w:rPr>
          <w:b/>
          <w:color w:val="auto"/>
        </w:rPr>
        <w:t xml:space="preserve"> siete días del calendario</w:t>
      </w:r>
      <w:r w:rsidRPr="00F70222">
        <w:rPr>
          <w:b/>
          <w:color w:val="auto"/>
        </w:rPr>
        <w:t xml:space="preserve"> posteriores a la recepción de su apelación</w:t>
      </w:r>
      <w:r w:rsidRPr="00F70222">
        <w:rPr>
          <w:color w:val="auto"/>
        </w:rPr>
        <w:t xml:space="preserve">. </w:t>
      </w:r>
    </w:p>
    <w:p w14:paraId="0D93A7A7" w14:textId="0AC5865C" w:rsidR="00AE3425" w:rsidRPr="00F70222" w:rsidRDefault="00717B0C" w:rsidP="00DD5ED1">
      <w:pPr>
        <w:pStyle w:val="Body1"/>
        <w:numPr>
          <w:ilvl w:val="0"/>
          <w:numId w:val="45"/>
        </w:numPr>
        <w:spacing w:after="200" w:line="300" w:lineRule="exact"/>
        <w:rPr>
          <w:rFonts w:cs="Times New Roman"/>
          <w:color w:val="auto"/>
        </w:rPr>
      </w:pPr>
      <w:r w:rsidRPr="00F70222">
        <w:rPr>
          <w:color w:val="auto"/>
        </w:rPr>
        <w:t xml:space="preserve">Si pide una </w:t>
      </w:r>
      <w:r w:rsidR="00F62D24" w:rsidRPr="00F70222">
        <w:rPr>
          <w:b/>
          <w:color w:val="auto"/>
        </w:rPr>
        <w:t>apelación acelerada</w:t>
      </w:r>
      <w:r w:rsidRPr="00F70222">
        <w:rPr>
          <w:color w:val="auto"/>
        </w:rPr>
        <w:t xml:space="preserve">, nuestro plan le enviará una decisión dentro de las </w:t>
      </w:r>
      <w:r w:rsidRPr="00F70222">
        <w:rPr>
          <w:b/>
          <w:color w:val="auto"/>
        </w:rPr>
        <w:t>72</w:t>
      </w:r>
      <w:r w:rsidR="002A1FCB" w:rsidRPr="00F70222">
        <w:rPr>
          <w:b/>
          <w:color w:val="auto"/>
        </w:rPr>
        <w:t> </w:t>
      </w:r>
      <w:r w:rsidRPr="00F70222">
        <w:rPr>
          <w:b/>
          <w:color w:val="auto"/>
        </w:rPr>
        <w:t>horas posteriores a la recepción de su apelación</w:t>
      </w:r>
      <w:r w:rsidRPr="00F70222">
        <w:rPr>
          <w:color w:val="auto"/>
        </w:rPr>
        <w:t xml:space="preserve">. Puede pedir una apelación acelerada si usted o su proveedor de atención médica consideran que su salud podría verse </w:t>
      </w:r>
      <w:r w:rsidRPr="00F70222">
        <w:rPr>
          <w:b/>
          <w:color w:val="auto"/>
        </w:rPr>
        <w:t>seriamente perjudicada</w:t>
      </w:r>
      <w:r w:rsidRPr="00F70222">
        <w:rPr>
          <w:color w:val="auto"/>
        </w:rPr>
        <w:t xml:space="preserve"> si espera hasta </w:t>
      </w:r>
      <w:r w:rsidR="00AE3425" w:rsidRPr="00F70222">
        <w:rPr>
          <w:b/>
          <w:color w:val="auto"/>
        </w:rPr>
        <w:t>siete días del calendario</w:t>
      </w:r>
      <w:r w:rsidRPr="00F70222">
        <w:rPr>
          <w:color w:val="auto"/>
        </w:rPr>
        <w:t xml:space="preserve"> para recibir una decisión. Nuestro plan </w:t>
      </w:r>
      <w:r w:rsidR="00AE3425" w:rsidRPr="00F70222">
        <w:rPr>
          <w:b/>
          <w:bCs/>
          <w:color w:val="auto"/>
        </w:rPr>
        <w:t xml:space="preserve">automáticamente </w:t>
      </w:r>
      <w:r w:rsidRPr="00F70222">
        <w:rPr>
          <w:color w:val="auto"/>
        </w:rPr>
        <w:t xml:space="preserve">le otorgará una apelación acelerada si su </w:t>
      </w:r>
      <w:r w:rsidRPr="00F70222">
        <w:rPr>
          <w:b/>
          <w:color w:val="auto"/>
        </w:rPr>
        <w:t xml:space="preserve">proveedor de atención médica la pide por usted </w:t>
      </w:r>
      <w:r w:rsidRPr="00F70222">
        <w:rPr>
          <w:color w:val="auto"/>
        </w:rPr>
        <w:t xml:space="preserve">o si su </w:t>
      </w:r>
      <w:r w:rsidR="00AE3425" w:rsidRPr="00F70222">
        <w:rPr>
          <w:b/>
          <w:color w:val="auto"/>
        </w:rPr>
        <w:t>proveedor de atención médica respalda su solicitud</w:t>
      </w:r>
      <w:r w:rsidRPr="00F70222">
        <w:rPr>
          <w:color w:val="auto"/>
        </w:rPr>
        <w:t xml:space="preserve">. Si pide una apelación acelerada sin el respaldo de un proveedor de atención médica, nuestro plan decidirá si puede obtener una apelación acelerada. Si nuestro plan no aprueba una apelación acelerada, le daremos una decisión sobre su apelación en un plazo de </w:t>
      </w:r>
      <w:r w:rsidR="00AE3425" w:rsidRPr="00F70222">
        <w:rPr>
          <w:b/>
          <w:color w:val="auto"/>
        </w:rPr>
        <w:t>siete días del calendario</w:t>
      </w:r>
      <w:r w:rsidRPr="00F70222">
        <w:rPr>
          <w:color w:val="auto"/>
        </w:rPr>
        <w:t xml:space="preserve">. </w:t>
      </w:r>
    </w:p>
    <w:p w14:paraId="7FC0511F" w14:textId="64D66045" w:rsidR="00DD5ED1" w:rsidRPr="00F70222" w:rsidRDefault="00DD5ED1" w:rsidP="00DD5ED1">
      <w:pPr>
        <w:pStyle w:val="Body1"/>
        <w:spacing w:after="200" w:line="300" w:lineRule="exact"/>
        <w:rPr>
          <w:rFonts w:cs="Times New Roman"/>
          <w:color w:val="auto"/>
        </w:rPr>
      </w:pPr>
      <w:r w:rsidRPr="00F70222">
        <w:rPr>
          <w:color w:val="auto"/>
        </w:rPr>
        <w:t xml:space="preserve">Tanto para las apelaciones estándar como para las aceleradas, nuestra decisión podría tardar más si usted pide más tiempo o si necesitamos que nos dé más información. Nuestro plan le enviará una carta y le informará si necesitamos más tiempo y por qué. </w:t>
      </w:r>
    </w:p>
    <w:p w14:paraId="7126CE75" w14:textId="54EE3C10" w:rsidR="00AE3425" w:rsidRPr="00F70222" w:rsidRDefault="00AE3425" w:rsidP="00AE3425">
      <w:pPr>
        <w:pStyle w:val="Heading2"/>
        <w:rPr>
          <w:rFonts w:ascii="Times New Roman" w:hAnsi="Times New Roman" w:cs="Times New Roman"/>
        </w:rPr>
      </w:pPr>
      <w:r w:rsidRPr="00F70222">
        <w:rPr>
          <w:rFonts w:ascii="Times New Roman" w:hAnsi="Times New Roman"/>
        </w:rPr>
        <w:t xml:space="preserve">Cómo apelar </w:t>
      </w:r>
    </w:p>
    <w:p w14:paraId="70567731" w14:textId="27114A21" w:rsidR="00AC7B33" w:rsidRPr="00F70222" w:rsidRDefault="0041117F" w:rsidP="00535837">
      <w:pPr>
        <w:pStyle w:val="Body1"/>
        <w:spacing w:after="200" w:line="300" w:lineRule="exact"/>
        <w:rPr>
          <w:rFonts w:cs="Times New Roman"/>
        </w:rPr>
      </w:pPr>
      <w:r w:rsidRPr="00F70222">
        <w:rPr>
          <w:color w:val="auto"/>
        </w:rPr>
        <w:t xml:space="preserve">Usted, alguien a quien haya nombrado por escrito como su representante para actuar en su nombre (como un familiar, amigo o abogado) o su proveedor de atención médica pueden apelar. </w:t>
      </w:r>
      <w:r w:rsidRPr="00F70222">
        <w:t>Puede comunicarse con nuestro plan para apelar de una de estas maneras:</w:t>
      </w:r>
    </w:p>
    <w:p w14:paraId="402783F1" w14:textId="2ED25564" w:rsidR="00AC7B33" w:rsidRPr="00F70222" w:rsidRDefault="00AC7B33" w:rsidP="00535837">
      <w:pPr>
        <w:pStyle w:val="body2"/>
        <w:numPr>
          <w:ilvl w:val="0"/>
          <w:numId w:val="21"/>
        </w:numPr>
        <w:tabs>
          <w:tab w:val="left" w:pos="6480"/>
        </w:tabs>
        <w:spacing w:after="200" w:line="300" w:lineRule="exact"/>
        <w:rPr>
          <w:rFonts w:cs="Times New Roman"/>
        </w:rPr>
      </w:pPr>
      <w:r w:rsidRPr="00F70222">
        <w:rPr>
          <w:b/>
        </w:rPr>
        <w:t>Teléfono:</w:t>
      </w:r>
      <w:r w:rsidRPr="00F70222">
        <w:t xml:space="preserve"> llame a Servicios para Miembros de IEHP DualChoice al 1-877-273-IEHP (4347) (TTY: 1-800-718-4347)</w:t>
      </w:r>
      <w:r w:rsidRPr="00F70222">
        <w:rPr>
          <w:b/>
        </w:rPr>
        <w:t>.</w:t>
      </w:r>
    </w:p>
    <w:p w14:paraId="46FD992E" w14:textId="2E1EB112" w:rsidR="00AC7B33" w:rsidRPr="00F70222" w:rsidRDefault="00AC7B33" w:rsidP="00535837">
      <w:pPr>
        <w:pStyle w:val="body2"/>
        <w:numPr>
          <w:ilvl w:val="0"/>
          <w:numId w:val="21"/>
        </w:numPr>
        <w:spacing w:after="200" w:line="300" w:lineRule="exact"/>
        <w:rPr>
          <w:rFonts w:cs="Times New Roman"/>
        </w:rPr>
      </w:pPr>
      <w:r w:rsidRPr="00F70222">
        <w:rPr>
          <w:b/>
        </w:rPr>
        <w:t>Fax:</w:t>
      </w:r>
      <w:r w:rsidRPr="00F70222">
        <w:t xml:space="preserve"> envíe un fax a 909-890-5748</w:t>
      </w:r>
      <w:r w:rsidRPr="00F70222">
        <w:rPr>
          <w:b/>
        </w:rPr>
        <w:t>.</w:t>
      </w:r>
    </w:p>
    <w:p w14:paraId="09EA5161" w14:textId="7C5D4C50" w:rsidR="00AC7B33" w:rsidRPr="00F70222" w:rsidRDefault="00AC7B33" w:rsidP="00535837">
      <w:pPr>
        <w:pStyle w:val="body2"/>
        <w:numPr>
          <w:ilvl w:val="0"/>
          <w:numId w:val="21"/>
        </w:numPr>
        <w:tabs>
          <w:tab w:val="left" w:pos="6480"/>
        </w:tabs>
        <w:spacing w:after="200" w:line="300" w:lineRule="exact"/>
        <w:rPr>
          <w:rFonts w:cs="Times New Roman"/>
          <w:bCs/>
        </w:rPr>
      </w:pPr>
      <w:r w:rsidRPr="00F70222">
        <w:rPr>
          <w:b/>
        </w:rPr>
        <w:t>Correo postal:</w:t>
      </w:r>
      <w:r w:rsidRPr="00F70222">
        <w:t xml:space="preserve"> envíela por correo postal a IEHP DualChoice </w:t>
      </w:r>
      <w:proofErr w:type="spellStart"/>
      <w:r w:rsidRPr="00F70222">
        <w:t>Grievance</w:t>
      </w:r>
      <w:proofErr w:type="spellEnd"/>
      <w:r w:rsidRPr="00F70222">
        <w:t xml:space="preserve"> </w:t>
      </w:r>
      <w:proofErr w:type="spellStart"/>
      <w:r w:rsidRPr="00F70222">
        <w:t>Department</w:t>
      </w:r>
      <w:proofErr w:type="spellEnd"/>
      <w:r w:rsidRPr="00F70222">
        <w:t>, P.O. Box 1800, Rancho Cucamonga, CA 91730-5987.</w:t>
      </w:r>
      <w:r w:rsidRPr="00F70222">
        <w:rPr>
          <w:bCs/>
        </w:rPr>
        <w:tab/>
      </w:r>
    </w:p>
    <w:p w14:paraId="7D40BDA4" w14:textId="60B0E31E" w:rsidR="00AC7B33" w:rsidRPr="00F70222" w:rsidRDefault="00AC7B33" w:rsidP="00535837">
      <w:pPr>
        <w:pStyle w:val="body2"/>
        <w:numPr>
          <w:ilvl w:val="0"/>
          <w:numId w:val="21"/>
        </w:numPr>
        <w:tabs>
          <w:tab w:val="left" w:pos="6480"/>
        </w:tabs>
        <w:spacing w:after="200" w:line="300" w:lineRule="exact"/>
        <w:rPr>
          <w:rFonts w:cs="Times New Roman"/>
          <w:bCs/>
        </w:rPr>
      </w:pPr>
      <w:r w:rsidRPr="00F70222">
        <w:rPr>
          <w:b/>
        </w:rPr>
        <w:t xml:space="preserve"> En persona: </w:t>
      </w:r>
      <w:r w:rsidRPr="00F70222">
        <w:t>entréguela en 10801 6</w:t>
      </w:r>
      <w:r w:rsidR="00293BC0" w:rsidRPr="00F70222">
        <w:rPr>
          <w:vertAlign w:val="superscript"/>
        </w:rPr>
        <w:t>th</w:t>
      </w:r>
      <w:r w:rsidRPr="00F70222">
        <w:t xml:space="preserve"> Street, Rancho Cucamonga, CA 91730-5987.</w:t>
      </w:r>
    </w:p>
    <w:p w14:paraId="3027DA1D" w14:textId="7A5310D3" w:rsidR="00F62D24" w:rsidRPr="00F70222" w:rsidRDefault="00F62D24" w:rsidP="00535837">
      <w:pPr>
        <w:pStyle w:val="Body1"/>
        <w:spacing w:after="200" w:line="300" w:lineRule="exact"/>
        <w:rPr>
          <w:rFonts w:cs="Times New Roman"/>
        </w:rPr>
      </w:pPr>
      <w:r w:rsidRPr="00F70222">
        <w:t xml:space="preserve">Si apela por escrito, conserve una copia. Si llama, le enviaremos una carta con lo que nos dijo por teléfono. </w:t>
      </w:r>
    </w:p>
    <w:p w14:paraId="101CE765" w14:textId="5819CC36" w:rsidR="00F62D24" w:rsidRPr="00F70222" w:rsidRDefault="0041117F" w:rsidP="00535837">
      <w:pPr>
        <w:pStyle w:val="Body1"/>
        <w:spacing w:after="200" w:line="300" w:lineRule="exact"/>
        <w:rPr>
          <w:rFonts w:cs="Times New Roman"/>
          <w:color w:val="auto"/>
        </w:rPr>
      </w:pPr>
      <w:r w:rsidRPr="00F70222">
        <w:rPr>
          <w:color w:val="auto"/>
        </w:rPr>
        <w:t>Cuando apele, tiene que darnos:</w:t>
      </w:r>
    </w:p>
    <w:p w14:paraId="3FE5C97C" w14:textId="77777777" w:rsidR="00F62D24" w:rsidRPr="00F70222" w:rsidRDefault="00F62D24" w:rsidP="00535837">
      <w:pPr>
        <w:pStyle w:val="bullets"/>
        <w:spacing w:after="200" w:line="300" w:lineRule="exact"/>
        <w:contextualSpacing w:val="0"/>
        <w:rPr>
          <w:rFonts w:cs="Times New Roman"/>
        </w:rPr>
      </w:pPr>
      <w:r w:rsidRPr="00F70222">
        <w:t>Su nombre.</w:t>
      </w:r>
    </w:p>
    <w:p w14:paraId="6D6F71EF" w14:textId="0D587BF2" w:rsidR="00F62D24" w:rsidRPr="00F70222" w:rsidRDefault="00F62D24" w:rsidP="00535837">
      <w:pPr>
        <w:pStyle w:val="bullets"/>
        <w:spacing w:after="200" w:line="300" w:lineRule="exact"/>
        <w:contextualSpacing w:val="0"/>
        <w:rPr>
          <w:rFonts w:cs="Times New Roman"/>
        </w:rPr>
      </w:pPr>
      <w:r w:rsidRPr="00F70222">
        <w:t>Su dirección o una dirección a la que debamos enviarle la información sobre su apelación (si no tiene una dirección actual, de todos modos puede apelar).</w:t>
      </w:r>
    </w:p>
    <w:p w14:paraId="6772E07F" w14:textId="0BBE2ED1" w:rsidR="00F62D24" w:rsidRPr="00F70222" w:rsidRDefault="00F62D24" w:rsidP="00535837">
      <w:pPr>
        <w:pStyle w:val="bullets"/>
        <w:spacing w:after="200" w:line="300" w:lineRule="exact"/>
        <w:contextualSpacing w:val="0"/>
        <w:rPr>
          <w:rFonts w:cs="Times New Roman"/>
        </w:rPr>
      </w:pPr>
      <w:r w:rsidRPr="00F70222">
        <w:t>Su número de miembro de nuestro plan.</w:t>
      </w:r>
    </w:p>
    <w:p w14:paraId="3D1B5FF3" w14:textId="61C3A70E" w:rsidR="00F62D24" w:rsidRPr="00F70222" w:rsidRDefault="00F62D24" w:rsidP="00535837">
      <w:pPr>
        <w:pStyle w:val="bullets"/>
        <w:spacing w:after="200" w:line="300" w:lineRule="exact"/>
        <w:contextualSpacing w:val="0"/>
        <w:rPr>
          <w:rFonts w:cs="Times New Roman"/>
        </w:rPr>
      </w:pPr>
      <w:r w:rsidRPr="00F70222">
        <w:lastRenderedPageBreak/>
        <w:t>Las razones por las que está apelando nuestra decisión.</w:t>
      </w:r>
    </w:p>
    <w:p w14:paraId="5E3CB1C3" w14:textId="33654F73" w:rsidR="00F62D24" w:rsidRPr="00F70222" w:rsidRDefault="00C213DB" w:rsidP="00535837">
      <w:pPr>
        <w:pStyle w:val="bullets"/>
        <w:spacing w:after="200" w:line="300" w:lineRule="exact"/>
        <w:contextualSpacing w:val="0"/>
        <w:rPr>
          <w:rFonts w:cs="Times New Roman"/>
        </w:rPr>
      </w:pPr>
      <w:r w:rsidRPr="00F70222">
        <w:t>Si desea presentar una apelación estándar o acelerada. (Para una apelación acelerada, díganos por qué la necesita).</w:t>
      </w:r>
    </w:p>
    <w:p w14:paraId="597C606D" w14:textId="7F5A3F06" w:rsidR="00F62D24" w:rsidRPr="00F70222" w:rsidRDefault="00F62D24" w:rsidP="00535837">
      <w:pPr>
        <w:pStyle w:val="bullets"/>
        <w:spacing w:after="200" w:line="300" w:lineRule="exact"/>
        <w:contextualSpacing w:val="0"/>
        <w:rPr>
          <w:rFonts w:cs="Times New Roman"/>
        </w:rPr>
      </w:pPr>
      <w:r w:rsidRPr="00F70222">
        <w:t>Cualquier cosa que quiera que nuestro plan examine y que muestre por qué necesita el servicio. Por ejemplo, puede enviarnos:</w:t>
      </w:r>
    </w:p>
    <w:p w14:paraId="138C2698" w14:textId="76EC6744" w:rsidR="00F62D24" w:rsidRPr="00F70222" w:rsidRDefault="00F62D24" w:rsidP="00535837">
      <w:pPr>
        <w:pStyle w:val="bullets"/>
        <w:numPr>
          <w:ilvl w:val="1"/>
          <w:numId w:val="2"/>
        </w:numPr>
        <w:spacing w:after="200" w:line="300" w:lineRule="exact"/>
        <w:ind w:left="1080"/>
        <w:contextualSpacing w:val="0"/>
        <w:rPr>
          <w:rFonts w:cs="Times New Roman"/>
        </w:rPr>
      </w:pPr>
      <w:r w:rsidRPr="00F70222">
        <w:t>Expedientes médicos de su</w:t>
      </w:r>
      <w:bookmarkStart w:id="0" w:name="_Hlk153472409"/>
      <w:r w:rsidR="00E01E1D" w:rsidRPr="00F70222" w:rsidDel="000E21B7">
        <w:rPr>
          <w:i/>
          <w:color w:val="548DD4"/>
        </w:rPr>
        <w:t xml:space="preserve"> </w:t>
      </w:r>
      <w:bookmarkEnd w:id="0"/>
      <w:r w:rsidRPr="00F70222">
        <w:t>proveedor de atención médica;</w:t>
      </w:r>
    </w:p>
    <w:p w14:paraId="02B14567" w14:textId="1F71AD54" w:rsidR="00F62D24" w:rsidRPr="00F70222" w:rsidRDefault="00F62D24" w:rsidP="00535837">
      <w:pPr>
        <w:pStyle w:val="bullets"/>
        <w:numPr>
          <w:ilvl w:val="1"/>
          <w:numId w:val="2"/>
        </w:numPr>
        <w:spacing w:after="200" w:line="300" w:lineRule="exact"/>
        <w:ind w:left="1080"/>
        <w:contextualSpacing w:val="0"/>
        <w:rPr>
          <w:rFonts w:cs="Times New Roman"/>
        </w:rPr>
      </w:pPr>
      <w:r w:rsidRPr="00F70222">
        <w:rPr>
          <w:spacing w:val="-1"/>
        </w:rPr>
        <w:t xml:space="preserve">Cartas de su proveedor de atención médica (como una declaración de su proveedor de atención médica que diga por qué necesita una apelación acelerada), u </w:t>
      </w:r>
    </w:p>
    <w:p w14:paraId="65C02C06" w14:textId="36E7C41F" w:rsidR="00F62D24" w:rsidRPr="00F70222" w:rsidRDefault="00F62D24" w:rsidP="00535837">
      <w:pPr>
        <w:pStyle w:val="bullets"/>
        <w:numPr>
          <w:ilvl w:val="1"/>
          <w:numId w:val="2"/>
        </w:numPr>
        <w:spacing w:after="200" w:line="300" w:lineRule="exact"/>
        <w:ind w:left="1080"/>
        <w:contextualSpacing w:val="0"/>
        <w:rPr>
          <w:rFonts w:cs="Times New Roman"/>
        </w:rPr>
      </w:pPr>
      <w:r w:rsidRPr="00F70222">
        <w:t xml:space="preserve">Otra información que diga por qué necesita el servicio. </w:t>
      </w:r>
    </w:p>
    <w:p w14:paraId="5A607A6C" w14:textId="21F876CC" w:rsidR="00A431B6" w:rsidRPr="00F70222" w:rsidRDefault="00A431B6" w:rsidP="00535837">
      <w:pPr>
        <w:spacing w:after="200" w:line="300" w:lineRule="exact"/>
        <w:rPr>
          <w:rFonts w:cs="Times New Roman"/>
        </w:rPr>
      </w:pPr>
      <w:r w:rsidRPr="00F70222">
        <w:t>Para obtener más información sobre cómo apelar, llame a Servicios para Miembros al 1</w:t>
      </w:r>
      <w:r w:rsidR="002A1FCB" w:rsidRPr="00F70222">
        <w:noBreakHyphen/>
      </w:r>
      <w:r w:rsidRPr="00F70222">
        <w:t>877</w:t>
      </w:r>
      <w:r w:rsidR="002A1FCB" w:rsidRPr="00F70222">
        <w:noBreakHyphen/>
      </w:r>
      <w:r w:rsidRPr="00F70222">
        <w:t xml:space="preserve">273-IEHP (4347) (TTY: 1-800-718-4347). También puede encontrar más información en la </w:t>
      </w:r>
      <w:r w:rsidRPr="00F70222">
        <w:rPr>
          <w:color w:val="auto"/>
        </w:rPr>
        <w:t>Evidencia de Cobertura</w:t>
      </w:r>
      <w:r w:rsidRPr="00F70222">
        <w:t xml:space="preserve"> de nuestro plan. Siempre puede obtener una copia actualizada de la </w:t>
      </w:r>
      <w:r w:rsidR="009C25F0" w:rsidRPr="00F70222">
        <w:rPr>
          <w:color w:val="auto"/>
        </w:rPr>
        <w:t>Evidencia de Cobertura</w:t>
      </w:r>
      <w:r w:rsidRPr="00F70222">
        <w:t xml:space="preserve"> en nuestro sitio web en www.iehp.org o llamando a nuestro plan. </w:t>
      </w:r>
    </w:p>
    <w:p w14:paraId="5E15CFC1" w14:textId="528E4EDE" w:rsidR="00D7604A" w:rsidRPr="00F70222" w:rsidRDefault="00D7604A" w:rsidP="00C3038C">
      <w:pPr>
        <w:pStyle w:val="Heading2"/>
        <w:rPr>
          <w:rFonts w:ascii="Times New Roman" w:hAnsi="Times New Roman" w:cs="Times New Roman"/>
        </w:rPr>
      </w:pPr>
      <w:r w:rsidRPr="00F70222">
        <w:rPr>
          <w:rFonts w:ascii="Times New Roman" w:hAnsi="Times New Roman"/>
        </w:rPr>
        <w:t>Cómo seguir recibiendo su servicio durante su apelación</w:t>
      </w:r>
    </w:p>
    <w:p w14:paraId="6303FE3E" w14:textId="09123710" w:rsidR="0095262C" w:rsidRPr="00F70222" w:rsidRDefault="0095262C" w:rsidP="00535837">
      <w:pPr>
        <w:spacing w:after="200" w:line="300" w:lineRule="exact"/>
        <w:rPr>
          <w:rFonts w:cs="Times New Roman"/>
        </w:rPr>
      </w:pPr>
      <w:r w:rsidRPr="00F70222">
        <w:t xml:space="preserve">Si ya está recibiendo el servicio que se indica en la primera página de esta carta, puede solicitar continuar recibiéndolo durante su apelación. </w:t>
      </w:r>
    </w:p>
    <w:p w14:paraId="64EE2671" w14:textId="2005EF5B" w:rsidR="009D4108" w:rsidRPr="00F70222" w:rsidRDefault="009D4108" w:rsidP="003314AE">
      <w:pPr>
        <w:pStyle w:val="ListParagraph"/>
        <w:numPr>
          <w:ilvl w:val="0"/>
          <w:numId w:val="30"/>
        </w:numPr>
        <w:spacing w:after="200" w:line="300" w:lineRule="exact"/>
        <w:contextualSpacing w:val="0"/>
        <w:rPr>
          <w:rFonts w:cs="Times New Roman"/>
          <w:color w:val="auto"/>
        </w:rPr>
      </w:pPr>
      <w:r w:rsidRPr="00F70222">
        <w:rPr>
          <w:b/>
        </w:rPr>
        <w:t xml:space="preserve">Debe apelar y pedirle a nuestro plan continuar recibiendo su servicio </w:t>
      </w:r>
      <w:bookmarkStart w:id="1" w:name="_Hlk153472778"/>
      <w:r w:rsidRPr="00F70222">
        <w:rPr>
          <w:b/>
        </w:rPr>
        <w:t>durante</w:t>
      </w:r>
      <w:bookmarkEnd w:id="1"/>
      <w:r w:rsidRPr="00F70222">
        <w:rPr>
          <w:b/>
        </w:rPr>
        <w:t xml:space="preserve"> </w:t>
      </w:r>
      <w:bookmarkStart w:id="2" w:name="_Hlk153472841"/>
      <w:r w:rsidRPr="00F70222">
        <w:rPr>
          <w:b/>
        </w:rPr>
        <w:t>los 10</w:t>
      </w:r>
      <w:r w:rsidR="002A1FCB" w:rsidRPr="00F70222">
        <w:rPr>
          <w:b/>
        </w:rPr>
        <w:t> </w:t>
      </w:r>
      <w:r w:rsidRPr="00F70222">
        <w:rPr>
          <w:b/>
        </w:rPr>
        <w:t>días del calendario siguientes a la fecha de este aviso.</w:t>
      </w:r>
    </w:p>
    <w:bookmarkEnd w:id="2"/>
    <w:p w14:paraId="020E4C7D" w14:textId="1592422F" w:rsidR="009138BF" w:rsidRPr="00F70222" w:rsidRDefault="009138BF" w:rsidP="00535837">
      <w:pPr>
        <w:pStyle w:val="ListParagraph"/>
        <w:numPr>
          <w:ilvl w:val="0"/>
          <w:numId w:val="30"/>
        </w:numPr>
        <w:spacing w:after="200" w:line="300" w:lineRule="exact"/>
        <w:contextualSpacing w:val="0"/>
        <w:rPr>
          <w:rFonts w:cs="Times New Roman"/>
          <w:color w:val="auto"/>
        </w:rPr>
      </w:pPr>
      <w:r w:rsidRPr="00F70222">
        <w:t xml:space="preserve">Consulte la sección "Cómo apelar" que aparece más arriba en esta carta para obtener información sobre cómo comunicarse con nuestro plan. </w:t>
      </w:r>
    </w:p>
    <w:p w14:paraId="58D32D1E" w14:textId="0B65E201" w:rsidR="00D85F0F" w:rsidRPr="00F70222" w:rsidRDefault="00D7604A" w:rsidP="00535837">
      <w:pPr>
        <w:pStyle w:val="ListParagraph"/>
        <w:numPr>
          <w:ilvl w:val="0"/>
          <w:numId w:val="29"/>
        </w:numPr>
        <w:spacing w:after="200" w:line="300" w:lineRule="exact"/>
        <w:contextualSpacing w:val="0"/>
        <w:rPr>
          <w:rFonts w:cs="Times New Roman"/>
        </w:rPr>
      </w:pPr>
      <w:r w:rsidRPr="00F70222">
        <w:t>Si solicita a nuestro plan continuar con su servicio, este permanecerá igual durante su</w:t>
      </w:r>
      <w:r w:rsidR="002A1FCB" w:rsidRPr="00F70222">
        <w:t> </w:t>
      </w:r>
      <w:r w:rsidRPr="00F70222">
        <w:t>apelación.</w:t>
      </w:r>
    </w:p>
    <w:p w14:paraId="4CFF1F65" w14:textId="2047D45D" w:rsidR="00D85F0F" w:rsidRPr="00F70222" w:rsidRDefault="00D85F0F" w:rsidP="00535837">
      <w:pPr>
        <w:pStyle w:val="ListParagraph"/>
        <w:numPr>
          <w:ilvl w:val="0"/>
          <w:numId w:val="29"/>
        </w:numPr>
        <w:spacing w:after="200" w:line="300" w:lineRule="exact"/>
        <w:contextualSpacing w:val="0"/>
        <w:rPr>
          <w:rFonts w:cs="Times New Roman"/>
        </w:rPr>
      </w:pPr>
      <w:r w:rsidRPr="00F70222">
        <w:t xml:space="preserve">Si su </w:t>
      </w:r>
      <w:r w:rsidRPr="00F70222">
        <w:rPr>
          <w:color w:val="auto"/>
        </w:rPr>
        <w:t xml:space="preserve">proveedor de atención médica presenta la apelación por usted y usted desea seguir recibiendo su </w:t>
      </w:r>
      <w:r w:rsidRPr="00F70222">
        <w:t xml:space="preserve">servicio, entonces su </w:t>
      </w:r>
      <w:r w:rsidRPr="00F70222">
        <w:rPr>
          <w:color w:val="auto"/>
        </w:rPr>
        <w:t xml:space="preserve">proveedor de atención médica debe incluir su consentimiento por escrito. </w:t>
      </w:r>
    </w:p>
    <w:p w14:paraId="2CC45541" w14:textId="40690C58" w:rsidR="00D7604A" w:rsidRPr="00F70222" w:rsidRDefault="00D7604A" w:rsidP="00C3038C">
      <w:pPr>
        <w:pStyle w:val="Heading2"/>
        <w:rPr>
          <w:rFonts w:ascii="Times New Roman" w:hAnsi="Times New Roman" w:cs="Times New Roman"/>
        </w:rPr>
      </w:pPr>
      <w:r w:rsidRPr="00F70222">
        <w:rPr>
          <w:rFonts w:ascii="Times New Roman" w:hAnsi="Times New Roman"/>
        </w:rPr>
        <w:t>¿Qué sigue?</w:t>
      </w:r>
    </w:p>
    <w:p w14:paraId="113108C1" w14:textId="1E3DC556" w:rsidR="003C520F" w:rsidRPr="00F70222" w:rsidRDefault="00D7604A" w:rsidP="00535837">
      <w:pPr>
        <w:pStyle w:val="body2"/>
        <w:spacing w:after="200" w:line="300" w:lineRule="exact"/>
        <w:rPr>
          <w:rFonts w:cs="Times New Roman"/>
        </w:rPr>
      </w:pPr>
      <w:r w:rsidRPr="00F70222">
        <w:t>Después de apelar, nuestro plan le enviará una carta de decisión sobre la apelación para informarle si aprobamos o denegamos su apelación. Si nuestro plan sigue denegando el servicio indicado en la primera página de esta carta de decisión de cobertura, la carta de decisión de la apelación le indicará qué sigue, como información sobre una apelación de Nivel 2 de Medicare o cómo solicitar una Audiencia Estatal al Departamento de Servicios Sociales de California.</w:t>
      </w:r>
    </w:p>
    <w:p w14:paraId="3D64F832" w14:textId="77777777" w:rsidR="00D955FD" w:rsidRPr="00F70222" w:rsidRDefault="00D955FD" w:rsidP="00C3038C">
      <w:pPr>
        <w:pStyle w:val="Heading2"/>
        <w:rPr>
          <w:rFonts w:ascii="Times New Roman" w:hAnsi="Times New Roman" w:cs="Times New Roman"/>
        </w:rPr>
      </w:pPr>
      <w:r w:rsidRPr="00F70222">
        <w:rPr>
          <w:rFonts w:ascii="Times New Roman" w:hAnsi="Times New Roman"/>
        </w:rPr>
        <w:t>Qué hacer si necesita ayuda con su apelación</w:t>
      </w:r>
    </w:p>
    <w:p w14:paraId="3ED6DCEA" w14:textId="5427E267" w:rsidR="00D955FD" w:rsidRPr="00F70222" w:rsidRDefault="008004A9" w:rsidP="00535837">
      <w:pPr>
        <w:pStyle w:val="Body1"/>
        <w:spacing w:after="200" w:line="300" w:lineRule="exact"/>
        <w:rPr>
          <w:rFonts w:cs="Times New Roman"/>
          <w:color w:val="auto"/>
        </w:rPr>
      </w:pPr>
      <w:r w:rsidRPr="00F70222">
        <w:lastRenderedPageBreak/>
        <w:t xml:space="preserve">Puede pedirle a alguien que apele por usted y actúe en su nombre. Primero debe nombrarlo por escrito como su "representante" siguiendo los pasos que aparecen a continuación. </w:t>
      </w:r>
      <w:r w:rsidRPr="00F70222">
        <w:rPr>
          <w:color w:val="auto"/>
        </w:rPr>
        <w:t xml:space="preserve">Su representante puede ser un familiar, un amigo, un abogado, un doctor, un proveedor de atención médica o alguien de su confianza. </w:t>
      </w:r>
    </w:p>
    <w:p w14:paraId="3200250F" w14:textId="77777777" w:rsidR="00D955FD" w:rsidRPr="00F70222" w:rsidRDefault="00D955FD" w:rsidP="00535837">
      <w:pPr>
        <w:pStyle w:val="Body1"/>
        <w:spacing w:after="200" w:line="300" w:lineRule="exact"/>
        <w:rPr>
          <w:rFonts w:cs="Times New Roman"/>
          <w:color w:val="auto"/>
        </w:rPr>
      </w:pPr>
      <w:r w:rsidRPr="00F70222">
        <w:rPr>
          <w:color w:val="auto"/>
        </w:rPr>
        <w:t xml:space="preserve">Si quiere que alguien apele por usted: </w:t>
      </w:r>
    </w:p>
    <w:p w14:paraId="4A9A803F" w14:textId="38356908" w:rsidR="00D955FD" w:rsidRPr="00F70222" w:rsidRDefault="00D955FD" w:rsidP="00535837">
      <w:pPr>
        <w:pStyle w:val="Body1"/>
        <w:numPr>
          <w:ilvl w:val="0"/>
          <w:numId w:val="28"/>
        </w:numPr>
        <w:spacing w:after="200" w:line="300" w:lineRule="exact"/>
        <w:rPr>
          <w:rFonts w:cs="Times New Roman"/>
          <w:b/>
          <w:color w:val="548DD4"/>
        </w:rPr>
      </w:pPr>
      <w:r w:rsidRPr="00F70222">
        <w:rPr>
          <w:color w:val="auto"/>
        </w:rPr>
        <w:t xml:space="preserve">Llame a nuestro plan al </w:t>
      </w:r>
      <w:r w:rsidRPr="00F70222">
        <w:t xml:space="preserve">1-877-273-IEHP (4347) (TTY: 1-800-718-4347) </w:t>
      </w:r>
      <w:r w:rsidRPr="00F70222">
        <w:rPr>
          <w:color w:val="auto"/>
        </w:rPr>
        <w:t xml:space="preserve">para saber cómo nombrar a esa persona como su representante. O puede visitar </w:t>
      </w:r>
      <w:hyperlink r:id="rId12" w:history="1">
        <w:r w:rsidRPr="00F70222">
          <w:rPr>
            <w:rStyle w:val="Hyperlink"/>
          </w:rPr>
          <w:t>Medicare.gov/claims</w:t>
        </w:r>
        <w:r w:rsidR="002A1FCB" w:rsidRPr="00F70222">
          <w:rPr>
            <w:rStyle w:val="Hyperlink"/>
          </w:rPr>
          <w:noBreakHyphen/>
        </w:r>
        <w:r w:rsidRPr="00F70222">
          <w:rPr>
            <w:rStyle w:val="Hyperlink"/>
          </w:rPr>
          <w:t>appeals/file-an-appeal/can-someone-file-an-appeal-for-me</w:t>
        </w:r>
      </w:hyperlink>
      <w:r w:rsidRPr="00F70222">
        <w:rPr>
          <w:color w:val="auto"/>
        </w:rPr>
        <w:t xml:space="preserve">. </w:t>
      </w:r>
    </w:p>
    <w:p w14:paraId="2436DBE3" w14:textId="77777777" w:rsidR="00D955FD" w:rsidRPr="00F70222" w:rsidRDefault="00D955FD" w:rsidP="00535837">
      <w:pPr>
        <w:pStyle w:val="Body1"/>
        <w:numPr>
          <w:ilvl w:val="0"/>
          <w:numId w:val="28"/>
        </w:numPr>
        <w:spacing w:after="200" w:line="300" w:lineRule="exact"/>
        <w:rPr>
          <w:rFonts w:cs="Times New Roman"/>
          <w:b/>
          <w:color w:val="auto"/>
        </w:rPr>
      </w:pPr>
      <w:r w:rsidRPr="00F70222">
        <w:rPr>
          <w:color w:val="auto"/>
        </w:rPr>
        <w:t xml:space="preserve">Usted y su representante deben firmar y fechar una declaración que diga que esto es lo que desea. </w:t>
      </w:r>
    </w:p>
    <w:p w14:paraId="399202C0" w14:textId="0752ACC1" w:rsidR="00D46743" w:rsidRPr="00F70222" w:rsidRDefault="00D955FD" w:rsidP="00D46743">
      <w:pPr>
        <w:pStyle w:val="Body1"/>
        <w:numPr>
          <w:ilvl w:val="0"/>
          <w:numId w:val="28"/>
        </w:numPr>
        <w:spacing w:after="200" w:line="300" w:lineRule="exact"/>
        <w:rPr>
          <w:rFonts w:cs="Times New Roman"/>
          <w:b/>
          <w:color w:val="auto"/>
        </w:rPr>
      </w:pPr>
      <w:r w:rsidRPr="00F70222">
        <w:rPr>
          <w:color w:val="auto"/>
        </w:rPr>
        <w:t xml:space="preserve">Envíenos la declaración firmada por correo o fax a: </w:t>
      </w:r>
    </w:p>
    <w:p w14:paraId="1BC168C0" w14:textId="19912504" w:rsidR="002F2896" w:rsidRPr="00F70222" w:rsidRDefault="002F2896" w:rsidP="00AA5060">
      <w:pPr>
        <w:pStyle w:val="Body1"/>
        <w:spacing w:after="200" w:line="300" w:lineRule="exact"/>
        <w:ind w:left="1440"/>
        <w:rPr>
          <w:rFonts w:cs="Times New Roman"/>
          <w:color w:val="auto"/>
        </w:rPr>
      </w:pPr>
      <w:r w:rsidRPr="00F70222">
        <w:rPr>
          <w:color w:val="auto"/>
        </w:rPr>
        <w:t xml:space="preserve">IEHP DualChoice </w:t>
      </w:r>
      <w:proofErr w:type="spellStart"/>
      <w:r w:rsidRPr="00F70222">
        <w:rPr>
          <w:color w:val="auto"/>
        </w:rPr>
        <w:t>Grievance</w:t>
      </w:r>
      <w:proofErr w:type="spellEnd"/>
      <w:r w:rsidRPr="00F70222">
        <w:rPr>
          <w:color w:val="auto"/>
        </w:rPr>
        <w:t xml:space="preserve"> </w:t>
      </w:r>
      <w:proofErr w:type="spellStart"/>
      <w:r w:rsidRPr="00F70222">
        <w:rPr>
          <w:color w:val="auto"/>
        </w:rPr>
        <w:t>Department</w:t>
      </w:r>
      <w:proofErr w:type="spellEnd"/>
      <w:r w:rsidRPr="00F70222">
        <w:rPr>
          <w:color w:val="auto"/>
        </w:rPr>
        <w:t>, P.O. Box 1800, Rancho Cucamonga, CA 91730</w:t>
      </w:r>
    </w:p>
    <w:p w14:paraId="679E55A0" w14:textId="12571DA0" w:rsidR="00D955FD" w:rsidRPr="00F70222" w:rsidRDefault="002F2896" w:rsidP="00137DBA">
      <w:pPr>
        <w:pStyle w:val="Body1"/>
        <w:spacing w:after="200" w:line="300" w:lineRule="exact"/>
        <w:ind w:left="720" w:firstLine="720"/>
        <w:rPr>
          <w:rFonts w:cs="Times New Roman"/>
          <w:b/>
          <w:color w:val="auto"/>
        </w:rPr>
      </w:pPr>
      <w:r w:rsidRPr="00F70222">
        <w:rPr>
          <w:color w:val="auto"/>
        </w:rPr>
        <w:t>Fax: 909-890-5748</w:t>
      </w:r>
    </w:p>
    <w:p w14:paraId="3B50C31B" w14:textId="44C55FD4" w:rsidR="00D955FD" w:rsidRPr="00F70222" w:rsidRDefault="00D955FD" w:rsidP="00535837">
      <w:pPr>
        <w:pStyle w:val="Body1"/>
        <w:numPr>
          <w:ilvl w:val="0"/>
          <w:numId w:val="28"/>
        </w:numPr>
        <w:spacing w:after="200" w:line="300" w:lineRule="exact"/>
        <w:rPr>
          <w:rFonts w:cs="Times New Roman"/>
          <w:b/>
          <w:color w:val="auto"/>
        </w:rPr>
      </w:pPr>
      <w:r w:rsidRPr="00F70222">
        <w:t>Guarde una copia.</w:t>
      </w:r>
      <w:r w:rsidRPr="00F70222">
        <w:tab/>
      </w:r>
    </w:p>
    <w:p w14:paraId="7BE4B13C" w14:textId="21068DD2" w:rsidR="00D7604A" w:rsidRPr="00F70222" w:rsidRDefault="00D7604A" w:rsidP="00C3038C">
      <w:pPr>
        <w:pStyle w:val="Heading2"/>
        <w:rPr>
          <w:rFonts w:ascii="Times New Roman" w:hAnsi="Times New Roman" w:cs="Times New Roman"/>
        </w:rPr>
      </w:pPr>
      <w:r w:rsidRPr="00F70222">
        <w:rPr>
          <w:rFonts w:ascii="Times New Roman" w:hAnsi="Times New Roman"/>
        </w:rPr>
        <w:t>Obtenga ayuda y más información</w:t>
      </w:r>
    </w:p>
    <w:p w14:paraId="7808CB5E" w14:textId="0862B24D" w:rsidR="006D51AB" w:rsidRPr="00F70222" w:rsidRDefault="00AA5060" w:rsidP="00535837">
      <w:pPr>
        <w:pStyle w:val="bullets2"/>
        <w:numPr>
          <w:ilvl w:val="0"/>
          <w:numId w:val="27"/>
        </w:numPr>
        <w:spacing w:after="200" w:line="300" w:lineRule="exact"/>
      </w:pPr>
      <w:r w:rsidRPr="00F70222">
        <w:rPr>
          <w:b/>
        </w:rPr>
        <w:t>Servicios para Miembros de IEHP DualChoice:</w:t>
      </w:r>
      <w:r w:rsidRPr="00F70222">
        <w:t xml:space="preserve"> llame al 1-877-273-IEHP (4347) (TTY: 1-800-718-4347), de 8am a 8pm (Hora del Pacífico), los 7 días de la semana, incluidos los días festivos. También puede visitar www.iehp.org.</w:t>
      </w:r>
    </w:p>
    <w:p w14:paraId="5314763B" w14:textId="6E820344" w:rsidR="00462B54" w:rsidRPr="00F70222" w:rsidRDefault="00283FD9" w:rsidP="00535837">
      <w:pPr>
        <w:pStyle w:val="bullets2"/>
        <w:numPr>
          <w:ilvl w:val="0"/>
          <w:numId w:val="27"/>
        </w:numPr>
        <w:spacing w:after="200" w:line="300" w:lineRule="exact"/>
      </w:pPr>
      <w:r w:rsidRPr="00F70222">
        <w:rPr>
          <w:b/>
          <w:bCs/>
        </w:rPr>
        <w:t>Oficina del Defensor de los Beneficiarios del Departamento de Servicios de Salud (</w:t>
      </w:r>
      <w:proofErr w:type="spellStart"/>
      <w:r w:rsidRPr="00F70222">
        <w:rPr>
          <w:b/>
          <w:bCs/>
          <w:i/>
          <w:iCs/>
        </w:rPr>
        <w:t>Department</w:t>
      </w:r>
      <w:proofErr w:type="spellEnd"/>
      <w:r w:rsidRPr="00F70222">
        <w:rPr>
          <w:b/>
          <w:bCs/>
          <w:i/>
          <w:iCs/>
        </w:rPr>
        <w:t xml:space="preserve"> </w:t>
      </w:r>
      <w:proofErr w:type="spellStart"/>
      <w:r w:rsidRPr="00F70222">
        <w:rPr>
          <w:b/>
          <w:bCs/>
          <w:i/>
          <w:iCs/>
        </w:rPr>
        <w:t>of</w:t>
      </w:r>
      <w:proofErr w:type="spellEnd"/>
      <w:r w:rsidRPr="00F70222">
        <w:rPr>
          <w:b/>
          <w:bCs/>
          <w:i/>
          <w:iCs/>
        </w:rPr>
        <w:t xml:space="preserve"> Health Care </w:t>
      </w:r>
      <w:proofErr w:type="spellStart"/>
      <w:r w:rsidRPr="00F70222">
        <w:rPr>
          <w:b/>
          <w:bCs/>
          <w:i/>
          <w:iCs/>
        </w:rPr>
        <w:t>Services</w:t>
      </w:r>
      <w:proofErr w:type="spellEnd"/>
      <w:r w:rsidRPr="00F70222">
        <w:rPr>
          <w:b/>
          <w:bCs/>
          <w:i/>
          <w:iCs/>
        </w:rPr>
        <w:t>, DHCS</w:t>
      </w:r>
      <w:r w:rsidRPr="00F70222">
        <w:rPr>
          <w:b/>
          <w:bCs/>
        </w:rPr>
        <w:t>) de California:</w:t>
      </w:r>
      <w:r w:rsidRPr="00F70222">
        <w:t xml:space="preserve"> llame al 1-888-452-8609 (TTY: 1</w:t>
      </w:r>
      <w:r w:rsidRPr="00F70222">
        <w:rPr>
          <w:rStyle w:val="Emphasis"/>
          <w:b/>
          <w:bCs/>
          <w:i w:val="0"/>
          <w:iCs w:val="0"/>
          <w:shd w:val="clear" w:color="auto" w:fill="FFFFFF"/>
        </w:rPr>
        <w:t>-</w:t>
      </w:r>
      <w:r w:rsidRPr="00F70222">
        <w:rPr>
          <w:rStyle w:val="Emphasis"/>
          <w:i w:val="0"/>
          <w:shd w:val="clear" w:color="auto" w:fill="FFFFFF"/>
        </w:rPr>
        <w:t xml:space="preserve">800-719-5798). </w:t>
      </w:r>
      <w:r w:rsidRPr="00F70222">
        <w:t>La Oficina del Defensor puede responder preguntas si tiene algún problema con su apelación. Ahí también pueden ayudarle a entender qué hacer después. No están relacionados con nuestro plan ni con ninguna compañía de seguros o plan de salud. Sus servicios son gratuitos.</w:t>
      </w:r>
    </w:p>
    <w:p w14:paraId="749E3E3C" w14:textId="7EAAB9EA" w:rsidR="0063413A" w:rsidRPr="00F70222" w:rsidRDefault="009063BF" w:rsidP="00535837">
      <w:pPr>
        <w:pStyle w:val="bullets2"/>
        <w:numPr>
          <w:ilvl w:val="0"/>
          <w:numId w:val="27"/>
        </w:numPr>
        <w:tabs>
          <w:tab w:val="num" w:pos="360"/>
        </w:tabs>
        <w:spacing w:after="200" w:line="300" w:lineRule="exact"/>
      </w:pPr>
      <w:r w:rsidRPr="00F70222">
        <w:rPr>
          <w:b/>
        </w:rPr>
        <w:t>Programa de Asesoramiento y Defensoría sobre el Seguro Médico (</w:t>
      </w:r>
      <w:r w:rsidRPr="00F70222">
        <w:rPr>
          <w:b/>
          <w:i/>
          <w:iCs/>
        </w:rPr>
        <w:t xml:space="preserve">Health </w:t>
      </w:r>
      <w:proofErr w:type="spellStart"/>
      <w:r w:rsidRPr="00F70222">
        <w:rPr>
          <w:b/>
          <w:i/>
          <w:iCs/>
        </w:rPr>
        <w:t>Insurance</w:t>
      </w:r>
      <w:proofErr w:type="spellEnd"/>
      <w:r w:rsidRPr="00F70222">
        <w:rPr>
          <w:b/>
          <w:i/>
          <w:iCs/>
        </w:rPr>
        <w:t xml:space="preserve"> </w:t>
      </w:r>
      <w:proofErr w:type="spellStart"/>
      <w:r w:rsidRPr="00F70222">
        <w:rPr>
          <w:b/>
          <w:i/>
          <w:iCs/>
        </w:rPr>
        <w:t>Counseling</w:t>
      </w:r>
      <w:proofErr w:type="spellEnd"/>
      <w:r w:rsidRPr="00F70222">
        <w:rPr>
          <w:b/>
          <w:i/>
          <w:iCs/>
        </w:rPr>
        <w:t xml:space="preserve"> &amp; </w:t>
      </w:r>
      <w:proofErr w:type="spellStart"/>
      <w:r w:rsidRPr="00F70222">
        <w:rPr>
          <w:b/>
          <w:i/>
          <w:iCs/>
        </w:rPr>
        <w:t>Advocacy</w:t>
      </w:r>
      <w:proofErr w:type="spellEnd"/>
      <w:r w:rsidRPr="00F70222">
        <w:rPr>
          <w:b/>
          <w:i/>
          <w:iCs/>
        </w:rPr>
        <w:t xml:space="preserve"> </w:t>
      </w:r>
      <w:proofErr w:type="spellStart"/>
      <w:r w:rsidRPr="00F70222">
        <w:rPr>
          <w:b/>
          <w:i/>
          <w:iCs/>
        </w:rPr>
        <w:t>Program</w:t>
      </w:r>
      <w:proofErr w:type="spellEnd"/>
      <w:r w:rsidRPr="00F70222">
        <w:rPr>
          <w:b/>
          <w:i/>
          <w:iCs/>
        </w:rPr>
        <w:t>, HICAP</w:t>
      </w:r>
      <w:r w:rsidRPr="00F70222">
        <w:rPr>
          <w:b/>
        </w:rPr>
        <w:t>) de California:</w:t>
      </w:r>
      <w:r w:rsidRPr="00F70222">
        <w:t xml:space="preserve"> llame al 1-800-434-0222 (TTY: 711). Los asesores del HICAP pueden ayudarle con problemas de Medicare, incluido cómo apelar. El HICAP no está vinculado con ninguna compañía de seguros o plan de salud. Sus servicios son gratuitos.</w:t>
      </w:r>
    </w:p>
    <w:p w14:paraId="3A172F95" w14:textId="77AE8588" w:rsidR="00472657" w:rsidRPr="00F70222" w:rsidRDefault="00D7604A" w:rsidP="00535837">
      <w:pPr>
        <w:pStyle w:val="bullets2"/>
        <w:spacing w:after="200" w:line="300" w:lineRule="exact"/>
      </w:pPr>
      <w:r w:rsidRPr="00F70222">
        <w:rPr>
          <w:b/>
        </w:rPr>
        <w:t>Medicare:</w:t>
      </w:r>
      <w:r w:rsidRPr="00F70222">
        <w:t xml:space="preserve"> llame al 1-800-MEDICARE (1-800-633-4227), las 24 horas del día, los 7 días de la semana (los usuarios de TTY pueden llamar al 1-877-486-2048). O visite </w:t>
      </w:r>
      <w:hyperlink r:id="rId13" w:history="1">
        <w:r w:rsidRPr="00F70222">
          <w:rPr>
            <w:rStyle w:val="Hyperlink"/>
          </w:rPr>
          <w:t>Medicare.gov</w:t>
        </w:r>
      </w:hyperlink>
      <w:r w:rsidRPr="00F70222">
        <w:t>.</w:t>
      </w:r>
    </w:p>
    <w:p w14:paraId="73304D9F" w14:textId="7372C7D8" w:rsidR="008836A3" w:rsidRPr="00F70222" w:rsidRDefault="00167896" w:rsidP="00535837">
      <w:pPr>
        <w:pStyle w:val="bullets2"/>
        <w:spacing w:after="200" w:line="300" w:lineRule="exact"/>
      </w:pPr>
      <w:r w:rsidRPr="00F70222">
        <w:rPr>
          <w:b/>
        </w:rPr>
        <w:t>Medi-Cal:</w:t>
      </w:r>
      <w:r w:rsidRPr="00F70222">
        <w:t xml:space="preserve"> llame al 1-800-541-5555 (TTY: 711).</w:t>
      </w:r>
    </w:p>
    <w:p w14:paraId="26893009" w14:textId="3C34C30A" w:rsidR="00472657" w:rsidRPr="00F70222" w:rsidRDefault="00472657" w:rsidP="00535837">
      <w:pPr>
        <w:pStyle w:val="bullets2"/>
        <w:spacing w:after="200" w:line="300" w:lineRule="exact"/>
      </w:pPr>
      <w:r w:rsidRPr="00F70222">
        <w:rPr>
          <w:b/>
        </w:rPr>
        <w:lastRenderedPageBreak/>
        <w:t>Centro de Derechos de Medicare:</w:t>
      </w:r>
      <w:r w:rsidRPr="00F70222">
        <w:t xml:space="preserve"> llame al 1-800-333-4114 o visite </w:t>
      </w:r>
      <w:hyperlink r:id="rId14" w:history="1">
        <w:r w:rsidRPr="00F70222">
          <w:rPr>
            <w:rStyle w:val="Hyperlink"/>
          </w:rPr>
          <w:t>www.medicarerights.org</w:t>
        </w:r>
      </w:hyperlink>
      <w:r w:rsidRPr="00F70222">
        <w:t xml:space="preserve">. </w:t>
      </w:r>
    </w:p>
    <w:p w14:paraId="740EFF14" w14:textId="5129D511" w:rsidR="0090619F" w:rsidRPr="00F70222" w:rsidRDefault="00472657" w:rsidP="00535837">
      <w:pPr>
        <w:pStyle w:val="bullets2"/>
        <w:spacing w:after="200" w:line="300" w:lineRule="exact"/>
      </w:pPr>
      <w:proofErr w:type="spellStart"/>
      <w:r w:rsidRPr="00F70222">
        <w:rPr>
          <w:b/>
        </w:rPr>
        <w:t>Eldercare</w:t>
      </w:r>
      <w:proofErr w:type="spellEnd"/>
      <w:r w:rsidRPr="00F70222">
        <w:rPr>
          <w:b/>
        </w:rPr>
        <w:t xml:space="preserve"> </w:t>
      </w:r>
      <w:proofErr w:type="spellStart"/>
      <w:r w:rsidRPr="00F70222">
        <w:rPr>
          <w:b/>
        </w:rPr>
        <w:t>Locator</w:t>
      </w:r>
      <w:proofErr w:type="spellEnd"/>
      <w:r w:rsidRPr="00F70222">
        <w:t xml:space="preserve">: llame al 1-800-677-1116 o visite </w:t>
      </w:r>
      <w:hyperlink r:id="rId15" w:history="1">
        <w:r w:rsidR="00A56FAB" w:rsidRPr="00F70222">
          <w:rPr>
            <w:rStyle w:val="Hyperlink"/>
          </w:rPr>
          <w:t>www.eldercare.acl.gov</w:t>
        </w:r>
      </w:hyperlink>
      <w:hyperlink w:history="1"/>
      <w:r w:rsidRPr="00F70222">
        <w:rPr>
          <w:spacing w:val="-2"/>
        </w:rPr>
        <w:t xml:space="preserve"> para encontrar ayuda en su comunidad.</w:t>
      </w:r>
    </w:p>
    <w:p w14:paraId="44CD9EED" w14:textId="41472617" w:rsidR="00D7604A" w:rsidRPr="00F70222" w:rsidRDefault="00D7604A" w:rsidP="00535837">
      <w:pPr>
        <w:pBdr>
          <w:top w:val="single" w:sz="4" w:space="7" w:color="auto"/>
        </w:pBdr>
        <w:spacing w:after="200" w:line="300" w:lineRule="exact"/>
        <w:rPr>
          <w:rFonts w:cs="Times New Roman"/>
          <w:color w:val="auto"/>
        </w:rPr>
      </w:pPr>
      <w:r w:rsidRPr="00F70222">
        <w:rPr>
          <w:color w:val="auto"/>
        </w:rPr>
        <w:t>Puede obtener este documento sin costo en otros formatos, como letra grande, braille o audio. Llame al 1-877-273-IEHP (4347) (TTY 1-800-718-4347), de 8am a 8pm (Hora del Pacífico), los</w:t>
      </w:r>
      <w:r w:rsidR="002A1FCB" w:rsidRPr="00F70222">
        <w:rPr>
          <w:color w:val="auto"/>
        </w:rPr>
        <w:t> </w:t>
      </w:r>
      <w:r w:rsidRPr="00F70222">
        <w:rPr>
          <w:color w:val="auto"/>
        </w:rPr>
        <w:t xml:space="preserve">7 días de la semana, incluidos los días festivos. La llamada es gratuita. </w:t>
      </w:r>
    </w:p>
    <w:p w14:paraId="5D0712B3" w14:textId="38EE8C2F" w:rsidR="00AE3425" w:rsidRPr="00F70222" w:rsidRDefault="00AE3425" w:rsidP="00AE3425">
      <w:pPr>
        <w:spacing w:after="200" w:line="300" w:lineRule="exact"/>
        <w:rPr>
          <w:rFonts w:cs="Times New Roman"/>
        </w:rPr>
      </w:pPr>
      <w:r w:rsidRPr="00F70222">
        <w:t>Tiene derecho a obtener información de Medicare en un formato accesible, como letra grande, braille o audio. También tiene derecho a presentar una queja si cree que sufrió discriminación. Visite Medicare.gov/</w:t>
      </w:r>
      <w:proofErr w:type="spellStart"/>
      <w:r w:rsidRPr="00F70222">
        <w:t>about-us</w:t>
      </w:r>
      <w:proofErr w:type="spellEnd"/>
      <w:r w:rsidRPr="00F70222">
        <w:t>/</w:t>
      </w:r>
      <w:proofErr w:type="spellStart"/>
      <w:r w:rsidRPr="00F70222">
        <w:t>accessibility-nondiscrimination-notice</w:t>
      </w:r>
      <w:proofErr w:type="spellEnd"/>
      <w:r w:rsidRPr="00F70222">
        <w:t xml:space="preserve"> o llame al 1</w:t>
      </w:r>
      <w:r w:rsidR="002A1FCB" w:rsidRPr="00F70222">
        <w:noBreakHyphen/>
      </w:r>
      <w:r w:rsidRPr="00F70222">
        <w:t>800</w:t>
      </w:r>
      <w:r w:rsidR="002A1FCB" w:rsidRPr="00F70222">
        <w:noBreakHyphen/>
      </w:r>
      <w:r w:rsidRPr="00F70222">
        <w:t>MEDICARE (1-800-633-4227) para obtener más información. Los usuarios de TTY pueden llamar al 1-877-486-2048.</w:t>
      </w:r>
    </w:p>
    <w:p w14:paraId="38E302D4" w14:textId="1959791B" w:rsidR="00712E4C" w:rsidRPr="00F70222" w:rsidRDefault="00712E4C" w:rsidP="00535837">
      <w:pPr>
        <w:spacing w:after="200" w:line="300" w:lineRule="exact"/>
        <w:rPr>
          <w:rFonts w:cs="Times New Roman"/>
          <w:color w:val="548DD4"/>
        </w:rPr>
      </w:pPr>
    </w:p>
    <w:p w14:paraId="1887BF60" w14:textId="2693E917" w:rsidR="00616C63" w:rsidRPr="00F70222" w:rsidRDefault="00616C63" w:rsidP="00535837">
      <w:pPr>
        <w:spacing w:after="200" w:line="300" w:lineRule="exact"/>
        <w:rPr>
          <w:rFonts w:cs="Times New Roman"/>
          <w:color w:val="548DD4"/>
        </w:rPr>
      </w:pPr>
      <w:r w:rsidRPr="00F70222">
        <w:rPr>
          <w:i/>
        </w:rPr>
        <w:t>IEHP DualChoice (HMO D-SNP) es un plan HMO con un contrato con Medicare. La</w:t>
      </w:r>
      <w:r w:rsidR="002A1FCB" w:rsidRPr="00F70222">
        <w:rPr>
          <w:i/>
        </w:rPr>
        <w:t> </w:t>
      </w:r>
      <w:r w:rsidRPr="00F70222">
        <w:rPr>
          <w:i/>
        </w:rPr>
        <w:t>inscripción en IEHP DualChoice (HMO D-SNP) depende de la renovación del contrato.</w:t>
      </w:r>
    </w:p>
    <w:sectPr w:rsidR="00616C63" w:rsidRPr="00F70222" w:rsidSect="00803EAF">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8117" w14:textId="77777777" w:rsidR="00803EAF" w:rsidRDefault="00803EAF" w:rsidP="00F008CC">
      <w:r>
        <w:separator/>
      </w:r>
    </w:p>
  </w:endnote>
  <w:endnote w:type="continuationSeparator" w:id="0">
    <w:p w14:paraId="2A06BEAB" w14:textId="77777777" w:rsidR="00803EAF" w:rsidRDefault="00803EAF" w:rsidP="00F008CC">
      <w:r>
        <w:continuationSeparator/>
      </w:r>
    </w:p>
  </w:endnote>
  <w:endnote w:type="continuationNotice" w:id="1">
    <w:p w14:paraId="64D34A2A" w14:textId="77777777" w:rsidR="00803EAF" w:rsidRDefault="00803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DLJPJ+Arial">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F494" w14:textId="347E1E13" w:rsidR="00BC11AE" w:rsidRDefault="00751669" w:rsidP="009C25F0">
    <w:pPr>
      <w:pStyle w:val="Footer"/>
    </w:pPr>
    <w:r w:rsidRPr="00751669">
      <w:t xml:space="preserve">Formulario </w:t>
    </w:r>
    <w:r w:rsidR="009C25F0" w:rsidRPr="002A03F9">
      <w:t>CMS-10716</w:t>
    </w:r>
    <w:r w:rsidR="00A45F24">
      <w:rPr>
        <w:rFonts w:cs="Times New Roman"/>
      </w:rPr>
      <w:t xml:space="preserve">                </w:t>
    </w:r>
    <w:r w:rsidR="00E205EA" w:rsidRPr="00E205EA">
      <w:t>Aprobación de la OMB</w:t>
    </w:r>
    <w:r w:rsidR="009C25F0" w:rsidRPr="002A03F9">
      <w:t xml:space="preserve"> 0938-1386 (</w:t>
    </w:r>
    <w:r w:rsidR="002A03F9" w:rsidRPr="002A03F9">
      <w:t>Vencimiento</w:t>
    </w:r>
    <w:r w:rsidR="009C25F0" w:rsidRPr="002A03F9">
      <w:t>: 11/30/2025)</w:t>
    </w:r>
  </w:p>
  <w:p w14:paraId="37488AB3" w14:textId="7671BBF0" w:rsidR="00F34B38" w:rsidRPr="002A03F9" w:rsidRDefault="009C25F0" w:rsidP="00BC11AE">
    <w:pPr>
      <w:pStyle w:val="Footer"/>
      <w:jc w:val="right"/>
      <w:rPr>
        <w:rFonts w:cs="Times New Roman"/>
      </w:rPr>
    </w:pPr>
    <w:r w:rsidRPr="002A03F9">
      <w:t xml:space="preserve">Página </w:t>
    </w:r>
    <w:r w:rsidR="00B720A4" w:rsidRPr="002A03F9">
      <w:rPr>
        <w:rFonts w:cs="Times New Roman"/>
      </w:rPr>
      <w:fldChar w:fldCharType="begin"/>
    </w:r>
    <w:r w:rsidR="00B720A4" w:rsidRPr="002A03F9">
      <w:rPr>
        <w:rFonts w:cs="Times New Roman"/>
      </w:rPr>
      <w:instrText xml:space="preserve"> PAGE  \* Arabic  \* MERGEFORMAT </w:instrText>
    </w:r>
    <w:r w:rsidR="00B720A4" w:rsidRPr="002A03F9">
      <w:rPr>
        <w:rFonts w:cs="Times New Roman"/>
      </w:rPr>
      <w:fldChar w:fldCharType="separate"/>
    </w:r>
    <w:r w:rsidRPr="002A03F9">
      <w:t>1</w:t>
    </w:r>
    <w:r w:rsidR="00B720A4" w:rsidRPr="002A03F9">
      <w:rPr>
        <w:rFonts w:cs="Times New Roman"/>
      </w:rPr>
      <w:fldChar w:fldCharType="end"/>
    </w:r>
    <w:r w:rsidR="00B720A4" w:rsidRPr="002A03F9">
      <w:t xml:space="preserve"> de </w:t>
    </w:r>
    <w:r w:rsidR="00B720A4" w:rsidRPr="002A03F9">
      <w:rPr>
        <w:rFonts w:cs="Times New Roman"/>
      </w:rPr>
      <w:fldChar w:fldCharType="begin"/>
    </w:r>
    <w:r w:rsidR="00B720A4" w:rsidRPr="002A03F9">
      <w:rPr>
        <w:rFonts w:cs="Times New Roman"/>
      </w:rPr>
      <w:instrText xml:space="preserve"> NUMPAGES  \* Arabic  \* MERGEFORMAT </w:instrText>
    </w:r>
    <w:r w:rsidR="00B720A4" w:rsidRPr="002A03F9">
      <w:rPr>
        <w:rFonts w:cs="Times New Roman"/>
      </w:rPr>
      <w:fldChar w:fldCharType="separate"/>
    </w:r>
    <w:r w:rsidRPr="002A03F9">
      <w:t>1</w:t>
    </w:r>
    <w:r w:rsidR="00B720A4" w:rsidRPr="002A03F9">
      <w:rP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29F1" w14:textId="3FE93DA7" w:rsidR="00B720A4" w:rsidRPr="00F70222" w:rsidRDefault="004E2EAA" w:rsidP="004E2EAA">
    <w:pPr>
      <w:pStyle w:val="Footer"/>
      <w:tabs>
        <w:tab w:val="left" w:pos="1980"/>
      </w:tabs>
      <w:rPr>
        <w:rFonts w:cs="Times New Roman"/>
      </w:rPr>
    </w:pPr>
    <w:r w:rsidRPr="00F70222">
      <w:tab/>
    </w:r>
  </w:p>
  <w:p w14:paraId="15AD0A67" w14:textId="6D2350B9" w:rsidR="009C25F0" w:rsidRPr="00F70222" w:rsidRDefault="003C07B3" w:rsidP="004E2EAA">
    <w:pPr>
      <w:pStyle w:val="Footer"/>
      <w:rPr>
        <w:rFonts w:cs="Times New Roman"/>
      </w:rPr>
    </w:pPr>
    <w:r w:rsidRPr="003C07B3">
      <w:t xml:space="preserve">Formulario </w:t>
    </w:r>
    <w:r w:rsidR="009C25F0" w:rsidRPr="00F70222">
      <w:t xml:space="preserve">CMS-10716  </w:t>
    </w:r>
    <w:r w:rsidR="009C25F0" w:rsidRPr="00F70222">
      <w:tab/>
      <w:t xml:space="preserve">              </w:t>
    </w:r>
    <w:r w:rsidRPr="003C07B3">
      <w:t>Aprobación de la OMB</w:t>
    </w:r>
    <w:r w:rsidR="009C25F0" w:rsidRPr="00F70222">
      <w:t xml:space="preserve"> 0938-1386 (</w:t>
    </w:r>
    <w:r w:rsidR="00A523C9" w:rsidRPr="00A523C9">
      <w:t>Vencimiento</w:t>
    </w:r>
    <w:r w:rsidR="009C25F0" w:rsidRPr="00F70222">
      <w:t>: 11/30/2025)</w:t>
    </w:r>
  </w:p>
  <w:p w14:paraId="055BEFED" w14:textId="6EA43140" w:rsidR="004E2EAA" w:rsidRPr="00F70222" w:rsidRDefault="009C25F0" w:rsidP="004E2EAA">
    <w:pPr>
      <w:pStyle w:val="Footer"/>
      <w:rPr>
        <w:rFonts w:cs="Times New Roman"/>
        <w:sz w:val="22"/>
        <w:szCs w:val="22"/>
      </w:rPr>
    </w:pPr>
    <w:r w:rsidRPr="00F70222">
      <w:t xml:space="preserve">©2024 Inland Empire Health Plan. Todos los Derechos Reservados. </w:t>
    </w:r>
    <w:r w:rsidR="00F56B70" w:rsidRPr="00F70222">
      <w:br/>
    </w:r>
    <w:r w:rsidRPr="00F70222">
      <w:t>H8894_DSNP_24_ 4598231_C_IPA</w:t>
    </w:r>
    <w:r w:rsidR="009F3E86">
      <w:t>_SP</w:t>
    </w:r>
    <w:r w:rsidR="004E2EAA" w:rsidRPr="00F70222">
      <w:rPr>
        <w:sz w:val="22"/>
        <w:szCs w:val="22"/>
      </w:rPr>
      <w:tab/>
    </w:r>
    <w:r w:rsidR="00333563" w:rsidRPr="00F70222">
      <w:rPr>
        <w:sz w:val="22"/>
        <w:szCs w:val="22"/>
      </w:rPr>
      <w:tab/>
    </w:r>
    <w:r w:rsidRPr="00F70222">
      <w:rPr>
        <w:sz w:val="22"/>
      </w:rPr>
      <w:t xml:space="preserve"> Página </w:t>
    </w:r>
    <w:r w:rsidR="004E2EAA" w:rsidRPr="00F70222">
      <w:rPr>
        <w:rFonts w:cs="Times New Roman"/>
        <w:sz w:val="22"/>
        <w:szCs w:val="22"/>
      </w:rPr>
      <w:fldChar w:fldCharType="begin"/>
    </w:r>
    <w:r w:rsidR="004E2EAA" w:rsidRPr="00F70222">
      <w:rPr>
        <w:rFonts w:cs="Times New Roman"/>
        <w:sz w:val="22"/>
        <w:szCs w:val="22"/>
      </w:rPr>
      <w:instrText xml:space="preserve"> PAGE  \* Arabic  \* MERGEFORMAT </w:instrText>
    </w:r>
    <w:r w:rsidR="004E2EAA" w:rsidRPr="00F70222">
      <w:rPr>
        <w:rFonts w:cs="Times New Roman"/>
        <w:sz w:val="22"/>
        <w:szCs w:val="22"/>
      </w:rPr>
      <w:fldChar w:fldCharType="separate"/>
    </w:r>
    <w:r w:rsidRPr="00F70222">
      <w:rPr>
        <w:sz w:val="22"/>
      </w:rPr>
      <w:t>1</w:t>
    </w:r>
    <w:r w:rsidR="004E2EAA" w:rsidRPr="00F70222">
      <w:rPr>
        <w:rFonts w:cs="Times New Roman"/>
        <w:sz w:val="22"/>
        <w:szCs w:val="22"/>
      </w:rPr>
      <w:fldChar w:fldCharType="end"/>
    </w:r>
    <w:r w:rsidRPr="00F70222">
      <w:rPr>
        <w:sz w:val="22"/>
      </w:rPr>
      <w:t xml:space="preserve"> de </w:t>
    </w:r>
    <w:r w:rsidR="004E2EAA" w:rsidRPr="00F70222">
      <w:rPr>
        <w:rFonts w:cs="Times New Roman"/>
        <w:sz w:val="22"/>
        <w:szCs w:val="22"/>
      </w:rPr>
      <w:fldChar w:fldCharType="begin"/>
    </w:r>
    <w:r w:rsidR="004E2EAA" w:rsidRPr="00F70222">
      <w:rPr>
        <w:rFonts w:cs="Times New Roman"/>
        <w:sz w:val="22"/>
        <w:szCs w:val="22"/>
      </w:rPr>
      <w:instrText xml:space="preserve"> NUMPAGES  \* Arabic  \* MERGEFORMAT </w:instrText>
    </w:r>
    <w:r w:rsidR="004E2EAA" w:rsidRPr="00F70222">
      <w:rPr>
        <w:rFonts w:cs="Times New Roman"/>
        <w:sz w:val="22"/>
        <w:szCs w:val="22"/>
      </w:rPr>
      <w:fldChar w:fldCharType="separate"/>
    </w:r>
    <w:r w:rsidRPr="00F70222">
      <w:rPr>
        <w:sz w:val="22"/>
      </w:rPr>
      <w:t>5</w:t>
    </w:r>
    <w:r w:rsidR="004E2EAA" w:rsidRPr="00F70222">
      <w:rPr>
        <w:rFonts w:cs="Times New Roman"/>
        <w:sz w:val="22"/>
        <w:szCs w:val="22"/>
      </w:rPr>
      <w:fldChar w:fldCharType="end"/>
    </w:r>
  </w:p>
  <w:p w14:paraId="086018FE" w14:textId="7DBDDCEC" w:rsidR="004E2EAA" w:rsidRPr="00F70222" w:rsidRDefault="004E2EAA" w:rsidP="004E2EAA">
    <w:pPr>
      <w:pStyle w:val="Footer"/>
    </w:pPr>
    <w:r w:rsidRPr="00F70222">
      <w:tab/>
    </w:r>
  </w:p>
  <w:p w14:paraId="56E99511" w14:textId="55F49269" w:rsidR="00B720A4" w:rsidRPr="00F70222" w:rsidRDefault="00B720A4" w:rsidP="00B720A4">
    <w:pPr>
      <w:pStyle w:val="Footer"/>
      <w:rPr>
        <w:rFonts w:cs="Times New Roman"/>
      </w:rPr>
    </w:pPr>
    <w:r w:rsidRPr="00F70222">
      <w:t xml:space="preserve"> </w:t>
    </w:r>
  </w:p>
  <w:p w14:paraId="6625E0E2" w14:textId="77777777" w:rsidR="004E2EAA" w:rsidRPr="00F70222" w:rsidRDefault="004E2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4CF3" w14:textId="77777777" w:rsidR="00803EAF" w:rsidRDefault="00803EAF" w:rsidP="00F008CC">
      <w:r>
        <w:separator/>
      </w:r>
    </w:p>
  </w:footnote>
  <w:footnote w:type="continuationSeparator" w:id="0">
    <w:p w14:paraId="78D8FC43" w14:textId="77777777" w:rsidR="00803EAF" w:rsidRDefault="00803EAF" w:rsidP="00F008CC">
      <w:r>
        <w:continuationSeparator/>
      </w:r>
    </w:p>
  </w:footnote>
  <w:footnote w:type="continuationNotice" w:id="1">
    <w:p w14:paraId="771B3C04" w14:textId="77777777" w:rsidR="00803EAF" w:rsidRDefault="00803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CAC7" w14:textId="77777777" w:rsidR="001C02D9" w:rsidRPr="00A56FAB" w:rsidRDefault="001C02D9" w:rsidP="001C02D9">
    <w:pPr>
      <w:pStyle w:val="Header"/>
      <w:jc w:val="center"/>
      <w:rPr>
        <w:sz w:val="32"/>
        <w:szCs w:val="32"/>
        <w:lang w:val="en-US"/>
      </w:rPr>
    </w:pPr>
    <w:r w:rsidRPr="00A56FAB">
      <w:rPr>
        <w:sz w:val="32"/>
        <w:szCs w:val="32"/>
        <w:lang w:val="en-US"/>
      </w:rPr>
      <w:t>&lt;IPA&gt;</w:t>
    </w:r>
  </w:p>
  <w:p w14:paraId="075B997E" w14:textId="3DEAED6A" w:rsidR="00E37975" w:rsidRPr="00A56FAB" w:rsidRDefault="00E37975" w:rsidP="00E37975">
    <w:pPr>
      <w:pStyle w:val="Header"/>
      <w:jc w:val="center"/>
      <w:rPr>
        <w:lang w:val="en-US"/>
      </w:rPr>
    </w:pPr>
  </w:p>
  <w:p w14:paraId="601C187D" w14:textId="77777777" w:rsidR="00E37975" w:rsidRPr="00A56FAB" w:rsidRDefault="00E37975" w:rsidP="00E37975">
    <w:pPr>
      <w:pStyle w:val="Header"/>
      <w:jc w:val="center"/>
      <w:rPr>
        <w:lang w:val="en-US"/>
      </w:rPr>
    </w:pPr>
  </w:p>
  <w:p w14:paraId="43610B92" w14:textId="77777777" w:rsidR="00E37975" w:rsidRPr="00A56FAB" w:rsidRDefault="00E37975" w:rsidP="00E37975">
    <w:pPr>
      <w:pStyle w:val="Heading1"/>
      <w:rPr>
        <w:lang w:val="en-US"/>
      </w:rPr>
    </w:pPr>
    <w:bookmarkStart w:id="3" w:name="OLE_LINK1"/>
    <w:bookmarkStart w:id="4" w:name="OLE_LINK2"/>
  </w:p>
  <w:bookmarkEnd w:id="3"/>
  <w:bookmarkEnd w:id="4"/>
  <w:p w14:paraId="45B2F109" w14:textId="77777777" w:rsidR="00E37975" w:rsidRPr="00A56FAB" w:rsidRDefault="00E37975" w:rsidP="00E37975">
    <w:pPr>
      <w:pStyle w:val="Header"/>
      <w:rPr>
        <w:lang w:val="en-US"/>
      </w:rPr>
    </w:pPr>
  </w:p>
  <w:p w14:paraId="7CD5CECB" w14:textId="77777777" w:rsidR="00E37975" w:rsidRPr="00A56FAB" w:rsidRDefault="00E37975" w:rsidP="00E37975">
    <w:pPr>
      <w:pStyle w:val="Header"/>
      <w:jc w:val="right"/>
      <w:rPr>
        <w:rFonts w:cs="Times New Roman"/>
        <w:lang w:val="en-US"/>
      </w:rPr>
    </w:pPr>
    <w:r w:rsidRPr="00A56FAB">
      <w:rPr>
        <w:lang w:val="en-US"/>
      </w:rPr>
      <w:t>&lt;&lt;Date&gt;&gt;</w:t>
    </w:r>
  </w:p>
  <w:p w14:paraId="316B2A7F" w14:textId="77777777" w:rsidR="00E37975" w:rsidRPr="00A56FAB" w:rsidRDefault="00E37975" w:rsidP="00E37975">
    <w:pPr>
      <w:contextualSpacing/>
      <w:rPr>
        <w:sz w:val="28"/>
        <w:szCs w:val="28"/>
        <w:lang w:val="en-US"/>
      </w:rPr>
    </w:pPr>
  </w:p>
  <w:p w14:paraId="774A2193" w14:textId="77777777" w:rsidR="00E37975" w:rsidRPr="00A56FAB" w:rsidRDefault="00E37975" w:rsidP="00E37975">
    <w:pPr>
      <w:contextualSpacing/>
      <w:rPr>
        <w:rFonts w:cs="Times New Roman"/>
        <w:lang w:val="en-US"/>
      </w:rPr>
    </w:pPr>
  </w:p>
  <w:p w14:paraId="71F703A1" w14:textId="77777777" w:rsidR="00E37975" w:rsidRPr="00A56FAB" w:rsidRDefault="00E37975" w:rsidP="00E37975">
    <w:pPr>
      <w:contextualSpacing/>
      <w:rPr>
        <w:rFonts w:cs="Times New Roman"/>
        <w:lang w:val="en-US"/>
      </w:rPr>
    </w:pPr>
    <w:r w:rsidRPr="00A56FAB">
      <w:rPr>
        <w:lang w:val="en-US"/>
      </w:rPr>
      <w:t>&lt;&lt;Member Name&gt;&gt;</w:t>
    </w:r>
    <w:r w:rsidRPr="00A56FAB">
      <w:rPr>
        <w:lang w:val="en-US"/>
      </w:rPr>
      <w:tab/>
      <w:t xml:space="preserve">                      </w:t>
    </w:r>
    <w:r w:rsidRPr="00A56FAB">
      <w:rPr>
        <w:lang w:val="en-US"/>
      </w:rPr>
      <w:tab/>
    </w:r>
    <w:r w:rsidRPr="00A56FAB">
      <w:rPr>
        <w:lang w:val="en-US"/>
      </w:rPr>
      <w:tab/>
    </w:r>
    <w:r w:rsidRPr="00A56FAB">
      <w:rPr>
        <w:lang w:val="en-US"/>
      </w:rPr>
      <w:tab/>
    </w:r>
    <w:r w:rsidRPr="00A56FAB">
      <w:rPr>
        <w:lang w:val="en-US"/>
      </w:rPr>
      <w:tab/>
      <w:t xml:space="preserve"> </w:t>
    </w:r>
    <w:r w:rsidRPr="00A56FAB">
      <w:rPr>
        <w:lang w:val="en-US"/>
      </w:rPr>
      <w:tab/>
    </w:r>
  </w:p>
  <w:p w14:paraId="2C5321D0" w14:textId="77777777" w:rsidR="00E37975" w:rsidRPr="00A56FAB" w:rsidRDefault="00E37975" w:rsidP="00E37975">
    <w:pPr>
      <w:contextualSpacing/>
      <w:rPr>
        <w:rFonts w:cs="Times New Roman"/>
        <w:lang w:val="en-US"/>
      </w:rPr>
    </w:pPr>
    <w:r w:rsidRPr="00A56FAB">
      <w:rPr>
        <w:lang w:val="en-US"/>
      </w:rPr>
      <w:t>&lt;&lt;Address Line 1&gt;&gt; &lt;&lt;Address Line 2&gt;&gt;</w:t>
    </w:r>
  </w:p>
  <w:p w14:paraId="0C44F8D0" w14:textId="77777777" w:rsidR="00E37975" w:rsidRPr="00A56FAB" w:rsidRDefault="00E37975" w:rsidP="00E37975">
    <w:pPr>
      <w:contextualSpacing/>
      <w:rPr>
        <w:rFonts w:cs="Times New Roman"/>
      </w:rPr>
    </w:pPr>
    <w:r w:rsidRPr="00A56FAB">
      <w:t xml:space="preserve">&lt;&lt;City&gt;&gt;, &lt;&lt;ST&gt;&gt; &lt;&lt;Zip&gt;&gt; </w:t>
    </w:r>
  </w:p>
  <w:p w14:paraId="2FA12A32" w14:textId="54DC7EF4" w:rsidR="00013D3D" w:rsidRPr="00A56FAB" w:rsidRDefault="00013D3D" w:rsidP="00E37975">
    <w:pPr>
      <w:contextualSpacing/>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90D4A"/>
    <w:multiLevelType w:val="hybridMultilevel"/>
    <w:tmpl w:val="1DAA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4"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62345">
    <w:abstractNumId w:val="14"/>
  </w:num>
  <w:num w:numId="2" w16cid:durableId="1149051215">
    <w:abstractNumId w:val="38"/>
  </w:num>
  <w:num w:numId="3" w16cid:durableId="738984052">
    <w:abstractNumId w:val="10"/>
  </w:num>
  <w:num w:numId="4" w16cid:durableId="568075085">
    <w:abstractNumId w:val="39"/>
  </w:num>
  <w:num w:numId="5" w16cid:durableId="1917279199">
    <w:abstractNumId w:val="16"/>
  </w:num>
  <w:num w:numId="6" w16cid:durableId="1893693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286630">
    <w:abstractNumId w:val="33"/>
  </w:num>
  <w:num w:numId="8" w16cid:durableId="1402095387">
    <w:abstractNumId w:val="36"/>
  </w:num>
  <w:num w:numId="9" w16cid:durableId="2016299722">
    <w:abstractNumId w:val="13"/>
  </w:num>
  <w:num w:numId="10" w16cid:durableId="475798559">
    <w:abstractNumId w:val="28"/>
  </w:num>
  <w:num w:numId="11" w16cid:durableId="1239247559">
    <w:abstractNumId w:val="2"/>
  </w:num>
  <w:num w:numId="12" w16cid:durableId="970594881">
    <w:abstractNumId w:val="8"/>
  </w:num>
  <w:num w:numId="13" w16cid:durableId="625086910">
    <w:abstractNumId w:val="17"/>
  </w:num>
  <w:num w:numId="14" w16cid:durableId="526524503">
    <w:abstractNumId w:val="6"/>
  </w:num>
  <w:num w:numId="15" w16cid:durableId="481311720">
    <w:abstractNumId w:val="11"/>
  </w:num>
  <w:num w:numId="16" w16cid:durableId="878053607">
    <w:abstractNumId w:val="41"/>
  </w:num>
  <w:num w:numId="17" w16cid:durableId="486479426">
    <w:abstractNumId w:val="20"/>
  </w:num>
  <w:num w:numId="18" w16cid:durableId="1708211600">
    <w:abstractNumId w:val="35"/>
  </w:num>
  <w:num w:numId="19" w16cid:durableId="1508446812">
    <w:abstractNumId w:val="22"/>
  </w:num>
  <w:num w:numId="20" w16cid:durableId="686491362">
    <w:abstractNumId w:val="43"/>
  </w:num>
  <w:num w:numId="21" w16cid:durableId="974141321">
    <w:abstractNumId w:val="24"/>
  </w:num>
  <w:num w:numId="22" w16cid:durableId="1644970890">
    <w:abstractNumId w:val="7"/>
  </w:num>
  <w:num w:numId="23" w16cid:durableId="1318847764">
    <w:abstractNumId w:val="40"/>
  </w:num>
  <w:num w:numId="24" w16cid:durableId="1758550177">
    <w:abstractNumId w:val="5"/>
  </w:num>
  <w:num w:numId="25" w16cid:durableId="295334671">
    <w:abstractNumId w:val="31"/>
  </w:num>
  <w:num w:numId="26" w16cid:durableId="5908038">
    <w:abstractNumId w:val="25"/>
  </w:num>
  <w:num w:numId="27" w16cid:durableId="2095855140">
    <w:abstractNumId w:val="3"/>
  </w:num>
  <w:num w:numId="28" w16cid:durableId="2034570377">
    <w:abstractNumId w:val="26"/>
  </w:num>
  <w:num w:numId="29" w16cid:durableId="468671712">
    <w:abstractNumId w:val="1"/>
  </w:num>
  <w:num w:numId="30" w16cid:durableId="165756219">
    <w:abstractNumId w:val="15"/>
  </w:num>
  <w:num w:numId="31" w16cid:durableId="625624182">
    <w:abstractNumId w:val="12"/>
  </w:num>
  <w:num w:numId="32" w16cid:durableId="1013456974">
    <w:abstractNumId w:val="19"/>
  </w:num>
  <w:num w:numId="33" w16cid:durableId="1339695045">
    <w:abstractNumId w:val="23"/>
  </w:num>
  <w:num w:numId="34" w16cid:durableId="1809006324">
    <w:abstractNumId w:val="37"/>
  </w:num>
  <w:num w:numId="35" w16cid:durableId="1304656864">
    <w:abstractNumId w:val="9"/>
  </w:num>
  <w:num w:numId="36" w16cid:durableId="2115245692">
    <w:abstractNumId w:val="34"/>
  </w:num>
  <w:num w:numId="37" w16cid:durableId="1365593697">
    <w:abstractNumId w:val="29"/>
  </w:num>
  <w:num w:numId="38" w16cid:durableId="133260722">
    <w:abstractNumId w:val="42"/>
  </w:num>
  <w:num w:numId="39" w16cid:durableId="997339560">
    <w:abstractNumId w:val="21"/>
  </w:num>
  <w:num w:numId="40" w16cid:durableId="613362393">
    <w:abstractNumId w:val="30"/>
  </w:num>
  <w:num w:numId="41" w16cid:durableId="2130080770">
    <w:abstractNumId w:val="4"/>
  </w:num>
  <w:num w:numId="42" w16cid:durableId="490874958">
    <w:abstractNumId w:val="18"/>
  </w:num>
  <w:num w:numId="43" w16cid:durableId="936522999">
    <w:abstractNumId w:val="0"/>
  </w:num>
  <w:num w:numId="44" w16cid:durableId="1608923392">
    <w:abstractNumId w:val="27"/>
  </w:num>
  <w:num w:numId="45" w16cid:durableId="17499554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A71"/>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32F"/>
    <w:rsid w:val="000B4663"/>
    <w:rsid w:val="000B4FD0"/>
    <w:rsid w:val="000B54FF"/>
    <w:rsid w:val="000B576B"/>
    <w:rsid w:val="000B5CC7"/>
    <w:rsid w:val="000C05E5"/>
    <w:rsid w:val="000C2080"/>
    <w:rsid w:val="000C3FC7"/>
    <w:rsid w:val="000C504F"/>
    <w:rsid w:val="000C582D"/>
    <w:rsid w:val="000D778C"/>
    <w:rsid w:val="000E048D"/>
    <w:rsid w:val="000E21B7"/>
    <w:rsid w:val="000E32E6"/>
    <w:rsid w:val="000E34C0"/>
    <w:rsid w:val="000E563E"/>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5756D"/>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94A"/>
    <w:rsid w:val="001723AE"/>
    <w:rsid w:val="00173911"/>
    <w:rsid w:val="001751AF"/>
    <w:rsid w:val="00181843"/>
    <w:rsid w:val="0018380B"/>
    <w:rsid w:val="00183C57"/>
    <w:rsid w:val="001855B5"/>
    <w:rsid w:val="0018585B"/>
    <w:rsid w:val="00185F64"/>
    <w:rsid w:val="00187AF9"/>
    <w:rsid w:val="00187CBB"/>
    <w:rsid w:val="0019294C"/>
    <w:rsid w:val="00193BD4"/>
    <w:rsid w:val="00193E9C"/>
    <w:rsid w:val="00194517"/>
    <w:rsid w:val="0019473E"/>
    <w:rsid w:val="0019501F"/>
    <w:rsid w:val="00195BE8"/>
    <w:rsid w:val="00195D6E"/>
    <w:rsid w:val="0019711A"/>
    <w:rsid w:val="001A0420"/>
    <w:rsid w:val="001A09D1"/>
    <w:rsid w:val="001A27EC"/>
    <w:rsid w:val="001A2B7D"/>
    <w:rsid w:val="001A4B11"/>
    <w:rsid w:val="001A4BE6"/>
    <w:rsid w:val="001A56BF"/>
    <w:rsid w:val="001A57EA"/>
    <w:rsid w:val="001A79BD"/>
    <w:rsid w:val="001B1CAF"/>
    <w:rsid w:val="001B2A34"/>
    <w:rsid w:val="001B5B16"/>
    <w:rsid w:val="001C02D9"/>
    <w:rsid w:val="001C0BB9"/>
    <w:rsid w:val="001C1A07"/>
    <w:rsid w:val="001C344B"/>
    <w:rsid w:val="001C3E46"/>
    <w:rsid w:val="001C4975"/>
    <w:rsid w:val="001C4A2F"/>
    <w:rsid w:val="001C4AC1"/>
    <w:rsid w:val="001C5249"/>
    <w:rsid w:val="001C63AC"/>
    <w:rsid w:val="001C6AEC"/>
    <w:rsid w:val="001C6F17"/>
    <w:rsid w:val="001C73B6"/>
    <w:rsid w:val="001C7D2E"/>
    <w:rsid w:val="001C7E28"/>
    <w:rsid w:val="001D183B"/>
    <w:rsid w:val="001D47A3"/>
    <w:rsid w:val="001D493E"/>
    <w:rsid w:val="001D4B3B"/>
    <w:rsid w:val="001D5CF1"/>
    <w:rsid w:val="001D656A"/>
    <w:rsid w:val="001E038A"/>
    <w:rsid w:val="001E096C"/>
    <w:rsid w:val="001E1990"/>
    <w:rsid w:val="001E1A30"/>
    <w:rsid w:val="001E48A1"/>
    <w:rsid w:val="001E4C5D"/>
    <w:rsid w:val="001F07B5"/>
    <w:rsid w:val="001F6418"/>
    <w:rsid w:val="001F7243"/>
    <w:rsid w:val="002014A6"/>
    <w:rsid w:val="0020330F"/>
    <w:rsid w:val="0020757D"/>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AEC"/>
    <w:rsid w:val="00236FA4"/>
    <w:rsid w:val="002378E5"/>
    <w:rsid w:val="0024009A"/>
    <w:rsid w:val="002423F0"/>
    <w:rsid w:val="002439C0"/>
    <w:rsid w:val="00247352"/>
    <w:rsid w:val="00247CA1"/>
    <w:rsid w:val="00250046"/>
    <w:rsid w:val="00252C0D"/>
    <w:rsid w:val="002530DB"/>
    <w:rsid w:val="00253C3D"/>
    <w:rsid w:val="00253E8A"/>
    <w:rsid w:val="002540DA"/>
    <w:rsid w:val="0025488A"/>
    <w:rsid w:val="00254AAB"/>
    <w:rsid w:val="002564C3"/>
    <w:rsid w:val="00256B2B"/>
    <w:rsid w:val="00265025"/>
    <w:rsid w:val="00265F0B"/>
    <w:rsid w:val="00270C95"/>
    <w:rsid w:val="00271277"/>
    <w:rsid w:val="002714E0"/>
    <w:rsid w:val="002735B9"/>
    <w:rsid w:val="00273752"/>
    <w:rsid w:val="00276373"/>
    <w:rsid w:val="002823CD"/>
    <w:rsid w:val="002826E7"/>
    <w:rsid w:val="00283FD9"/>
    <w:rsid w:val="00284BA2"/>
    <w:rsid w:val="00285B02"/>
    <w:rsid w:val="002907D1"/>
    <w:rsid w:val="00291489"/>
    <w:rsid w:val="0029163A"/>
    <w:rsid w:val="002916CB"/>
    <w:rsid w:val="00293916"/>
    <w:rsid w:val="00293BC0"/>
    <w:rsid w:val="00295F7D"/>
    <w:rsid w:val="00297485"/>
    <w:rsid w:val="002A03F9"/>
    <w:rsid w:val="002A173A"/>
    <w:rsid w:val="002A1B8B"/>
    <w:rsid w:val="002A1FC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3ADF"/>
    <w:rsid w:val="00304820"/>
    <w:rsid w:val="003068CC"/>
    <w:rsid w:val="0030779A"/>
    <w:rsid w:val="00307D0F"/>
    <w:rsid w:val="00311552"/>
    <w:rsid w:val="00313633"/>
    <w:rsid w:val="00314B88"/>
    <w:rsid w:val="00314FDC"/>
    <w:rsid w:val="00315274"/>
    <w:rsid w:val="0031558C"/>
    <w:rsid w:val="00315EB3"/>
    <w:rsid w:val="0031602E"/>
    <w:rsid w:val="00317F34"/>
    <w:rsid w:val="0032085D"/>
    <w:rsid w:val="00323721"/>
    <w:rsid w:val="00324684"/>
    <w:rsid w:val="00325CC5"/>
    <w:rsid w:val="003312BB"/>
    <w:rsid w:val="003314AE"/>
    <w:rsid w:val="00333563"/>
    <w:rsid w:val="00334EE9"/>
    <w:rsid w:val="00340C0E"/>
    <w:rsid w:val="00340DFD"/>
    <w:rsid w:val="0034276E"/>
    <w:rsid w:val="00343579"/>
    <w:rsid w:val="003451A0"/>
    <w:rsid w:val="003455A5"/>
    <w:rsid w:val="0034731B"/>
    <w:rsid w:val="003475EB"/>
    <w:rsid w:val="00347C4B"/>
    <w:rsid w:val="0035202F"/>
    <w:rsid w:val="00352F4D"/>
    <w:rsid w:val="0035477B"/>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205D"/>
    <w:rsid w:val="0037230B"/>
    <w:rsid w:val="00373E1A"/>
    <w:rsid w:val="003743C8"/>
    <w:rsid w:val="00375364"/>
    <w:rsid w:val="00376785"/>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C07B3"/>
    <w:rsid w:val="003C166F"/>
    <w:rsid w:val="003C30A0"/>
    <w:rsid w:val="003C4248"/>
    <w:rsid w:val="003C46EF"/>
    <w:rsid w:val="003C520F"/>
    <w:rsid w:val="003C5369"/>
    <w:rsid w:val="003C5972"/>
    <w:rsid w:val="003D04C1"/>
    <w:rsid w:val="003D0E85"/>
    <w:rsid w:val="003D17B0"/>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E6A"/>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768C9"/>
    <w:rsid w:val="00581D63"/>
    <w:rsid w:val="00584BA6"/>
    <w:rsid w:val="00585E1D"/>
    <w:rsid w:val="00586AC5"/>
    <w:rsid w:val="005876D7"/>
    <w:rsid w:val="00587B26"/>
    <w:rsid w:val="00590D68"/>
    <w:rsid w:val="00595CC6"/>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48F"/>
    <w:rsid w:val="005D6819"/>
    <w:rsid w:val="005D7E64"/>
    <w:rsid w:val="005E01E5"/>
    <w:rsid w:val="005E0547"/>
    <w:rsid w:val="005E3A98"/>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78A7"/>
    <w:rsid w:val="00620AB1"/>
    <w:rsid w:val="00622255"/>
    <w:rsid w:val="00622CEA"/>
    <w:rsid w:val="006325C8"/>
    <w:rsid w:val="00632806"/>
    <w:rsid w:val="00633689"/>
    <w:rsid w:val="00633D7E"/>
    <w:rsid w:val="0063413A"/>
    <w:rsid w:val="006348F5"/>
    <w:rsid w:val="00634BE5"/>
    <w:rsid w:val="00635334"/>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53F0"/>
    <w:rsid w:val="00666647"/>
    <w:rsid w:val="00670507"/>
    <w:rsid w:val="00670A0F"/>
    <w:rsid w:val="00671AA4"/>
    <w:rsid w:val="006723A5"/>
    <w:rsid w:val="0067373A"/>
    <w:rsid w:val="006742BE"/>
    <w:rsid w:val="00674360"/>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1E6C"/>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166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0DCF"/>
    <w:rsid w:val="007F12F4"/>
    <w:rsid w:val="007F1D77"/>
    <w:rsid w:val="007F217C"/>
    <w:rsid w:val="008004A9"/>
    <w:rsid w:val="00801418"/>
    <w:rsid w:val="0080148E"/>
    <w:rsid w:val="00801625"/>
    <w:rsid w:val="00801EC8"/>
    <w:rsid w:val="00803086"/>
    <w:rsid w:val="008039DA"/>
    <w:rsid w:val="00803EAF"/>
    <w:rsid w:val="00804638"/>
    <w:rsid w:val="00804C8C"/>
    <w:rsid w:val="00811804"/>
    <w:rsid w:val="008119F2"/>
    <w:rsid w:val="008137F2"/>
    <w:rsid w:val="0081595B"/>
    <w:rsid w:val="0082147D"/>
    <w:rsid w:val="00831E03"/>
    <w:rsid w:val="00832E91"/>
    <w:rsid w:val="00833073"/>
    <w:rsid w:val="00834E8B"/>
    <w:rsid w:val="00837ED8"/>
    <w:rsid w:val="00845F46"/>
    <w:rsid w:val="00846058"/>
    <w:rsid w:val="00846251"/>
    <w:rsid w:val="00847AEA"/>
    <w:rsid w:val="00847CC3"/>
    <w:rsid w:val="008512A8"/>
    <w:rsid w:val="00851CA1"/>
    <w:rsid w:val="00852A45"/>
    <w:rsid w:val="00852F1E"/>
    <w:rsid w:val="00853CA1"/>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3E13"/>
    <w:rsid w:val="008A48F2"/>
    <w:rsid w:val="008A5B9E"/>
    <w:rsid w:val="008B01D6"/>
    <w:rsid w:val="008B0532"/>
    <w:rsid w:val="008B05E1"/>
    <w:rsid w:val="008B2849"/>
    <w:rsid w:val="008B2AB8"/>
    <w:rsid w:val="008B4D18"/>
    <w:rsid w:val="008B6256"/>
    <w:rsid w:val="008B69E1"/>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7EEE"/>
    <w:rsid w:val="009117B0"/>
    <w:rsid w:val="00911F3A"/>
    <w:rsid w:val="009138BF"/>
    <w:rsid w:val="00914123"/>
    <w:rsid w:val="00915AB8"/>
    <w:rsid w:val="009165B3"/>
    <w:rsid w:val="00916F75"/>
    <w:rsid w:val="00917A7F"/>
    <w:rsid w:val="00920760"/>
    <w:rsid w:val="00920CC5"/>
    <w:rsid w:val="009212BC"/>
    <w:rsid w:val="009213BF"/>
    <w:rsid w:val="009224E6"/>
    <w:rsid w:val="00922E16"/>
    <w:rsid w:val="009234B7"/>
    <w:rsid w:val="009270DF"/>
    <w:rsid w:val="00932486"/>
    <w:rsid w:val="009325C6"/>
    <w:rsid w:val="00933646"/>
    <w:rsid w:val="00934567"/>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30FA"/>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0A2A"/>
    <w:rsid w:val="009F27DC"/>
    <w:rsid w:val="009F2F79"/>
    <w:rsid w:val="009F3E86"/>
    <w:rsid w:val="009F3FE9"/>
    <w:rsid w:val="009F4CEA"/>
    <w:rsid w:val="009F57AF"/>
    <w:rsid w:val="009F57EB"/>
    <w:rsid w:val="009F5D78"/>
    <w:rsid w:val="009F751A"/>
    <w:rsid w:val="009F7640"/>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31B6"/>
    <w:rsid w:val="00A43571"/>
    <w:rsid w:val="00A44670"/>
    <w:rsid w:val="00A447E0"/>
    <w:rsid w:val="00A45550"/>
    <w:rsid w:val="00A45C33"/>
    <w:rsid w:val="00A45F24"/>
    <w:rsid w:val="00A46366"/>
    <w:rsid w:val="00A501AD"/>
    <w:rsid w:val="00A501F2"/>
    <w:rsid w:val="00A501F7"/>
    <w:rsid w:val="00A504D4"/>
    <w:rsid w:val="00A50B67"/>
    <w:rsid w:val="00A51905"/>
    <w:rsid w:val="00A5222E"/>
    <w:rsid w:val="00A523C9"/>
    <w:rsid w:val="00A52D72"/>
    <w:rsid w:val="00A53972"/>
    <w:rsid w:val="00A549B6"/>
    <w:rsid w:val="00A55685"/>
    <w:rsid w:val="00A56FAB"/>
    <w:rsid w:val="00A622AD"/>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3425"/>
    <w:rsid w:val="00AE70D4"/>
    <w:rsid w:val="00AF04C9"/>
    <w:rsid w:val="00AF0A9A"/>
    <w:rsid w:val="00AF1A4D"/>
    <w:rsid w:val="00AF1E81"/>
    <w:rsid w:val="00AF3D35"/>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B88"/>
    <w:rsid w:val="00B4560C"/>
    <w:rsid w:val="00B4586E"/>
    <w:rsid w:val="00B45B0F"/>
    <w:rsid w:val="00B46588"/>
    <w:rsid w:val="00B4772A"/>
    <w:rsid w:val="00B506B1"/>
    <w:rsid w:val="00B522D3"/>
    <w:rsid w:val="00B54590"/>
    <w:rsid w:val="00B55924"/>
    <w:rsid w:val="00B562F3"/>
    <w:rsid w:val="00B56B51"/>
    <w:rsid w:val="00B5726C"/>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4719"/>
    <w:rsid w:val="00BB6380"/>
    <w:rsid w:val="00BC11AE"/>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BF7C90"/>
    <w:rsid w:val="00C00EEB"/>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15A7"/>
    <w:rsid w:val="00D041F1"/>
    <w:rsid w:val="00D0423B"/>
    <w:rsid w:val="00D05AB3"/>
    <w:rsid w:val="00D1001F"/>
    <w:rsid w:val="00D102C8"/>
    <w:rsid w:val="00D1099B"/>
    <w:rsid w:val="00D10D06"/>
    <w:rsid w:val="00D10E26"/>
    <w:rsid w:val="00D11A23"/>
    <w:rsid w:val="00D11A4C"/>
    <w:rsid w:val="00D14EB3"/>
    <w:rsid w:val="00D15704"/>
    <w:rsid w:val="00D157C9"/>
    <w:rsid w:val="00D1756F"/>
    <w:rsid w:val="00D17691"/>
    <w:rsid w:val="00D21397"/>
    <w:rsid w:val="00D225DB"/>
    <w:rsid w:val="00D22EBE"/>
    <w:rsid w:val="00D24160"/>
    <w:rsid w:val="00D26733"/>
    <w:rsid w:val="00D277AA"/>
    <w:rsid w:val="00D30CB6"/>
    <w:rsid w:val="00D32BDC"/>
    <w:rsid w:val="00D33AE9"/>
    <w:rsid w:val="00D40ADF"/>
    <w:rsid w:val="00D41751"/>
    <w:rsid w:val="00D4252A"/>
    <w:rsid w:val="00D439C7"/>
    <w:rsid w:val="00D46743"/>
    <w:rsid w:val="00D47B87"/>
    <w:rsid w:val="00D5002F"/>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1DA2"/>
    <w:rsid w:val="00DD2460"/>
    <w:rsid w:val="00DD2B9E"/>
    <w:rsid w:val="00DD2E73"/>
    <w:rsid w:val="00DD30EE"/>
    <w:rsid w:val="00DD4239"/>
    <w:rsid w:val="00DD4933"/>
    <w:rsid w:val="00DD5ED1"/>
    <w:rsid w:val="00DD616F"/>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1E1D"/>
    <w:rsid w:val="00E03E84"/>
    <w:rsid w:val="00E04839"/>
    <w:rsid w:val="00E05D12"/>
    <w:rsid w:val="00E06F50"/>
    <w:rsid w:val="00E07007"/>
    <w:rsid w:val="00E1104E"/>
    <w:rsid w:val="00E1241F"/>
    <w:rsid w:val="00E15828"/>
    <w:rsid w:val="00E16FF6"/>
    <w:rsid w:val="00E171F2"/>
    <w:rsid w:val="00E1758E"/>
    <w:rsid w:val="00E17B29"/>
    <w:rsid w:val="00E205EA"/>
    <w:rsid w:val="00E20EED"/>
    <w:rsid w:val="00E21F4E"/>
    <w:rsid w:val="00E230A8"/>
    <w:rsid w:val="00E24A4C"/>
    <w:rsid w:val="00E26132"/>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29E"/>
    <w:rsid w:val="00E71698"/>
    <w:rsid w:val="00E727E4"/>
    <w:rsid w:val="00E72C46"/>
    <w:rsid w:val="00E74161"/>
    <w:rsid w:val="00E74163"/>
    <w:rsid w:val="00E7475C"/>
    <w:rsid w:val="00E74C1C"/>
    <w:rsid w:val="00E804D0"/>
    <w:rsid w:val="00E82462"/>
    <w:rsid w:val="00E85AC4"/>
    <w:rsid w:val="00E87BDF"/>
    <w:rsid w:val="00E94758"/>
    <w:rsid w:val="00E9615E"/>
    <w:rsid w:val="00E964A4"/>
    <w:rsid w:val="00EA0CA1"/>
    <w:rsid w:val="00EA0FD0"/>
    <w:rsid w:val="00EA21B3"/>
    <w:rsid w:val="00EA309B"/>
    <w:rsid w:val="00EA32FC"/>
    <w:rsid w:val="00EA5A77"/>
    <w:rsid w:val="00EA6738"/>
    <w:rsid w:val="00EB037C"/>
    <w:rsid w:val="00EB0CF2"/>
    <w:rsid w:val="00EB0D7D"/>
    <w:rsid w:val="00EB1FF5"/>
    <w:rsid w:val="00EB3EE6"/>
    <w:rsid w:val="00EB41ED"/>
    <w:rsid w:val="00EB4A83"/>
    <w:rsid w:val="00EB5998"/>
    <w:rsid w:val="00EB5D99"/>
    <w:rsid w:val="00EB659D"/>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2E3"/>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50423"/>
    <w:rsid w:val="00F5121B"/>
    <w:rsid w:val="00F5377B"/>
    <w:rsid w:val="00F566D5"/>
    <w:rsid w:val="00F56B70"/>
    <w:rsid w:val="00F62013"/>
    <w:rsid w:val="00F62D24"/>
    <w:rsid w:val="00F639BC"/>
    <w:rsid w:val="00F65A90"/>
    <w:rsid w:val="00F65ABD"/>
    <w:rsid w:val="00F66159"/>
    <w:rsid w:val="00F6685A"/>
    <w:rsid w:val="00F67C39"/>
    <w:rsid w:val="00F67D1F"/>
    <w:rsid w:val="00F70222"/>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0F7"/>
    <w:rsid w:val="00FB2C9B"/>
    <w:rsid w:val="00FB38BA"/>
    <w:rsid w:val="00FB4124"/>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Emphasis">
    <w:name w:val="Emphasis"/>
    <w:basedOn w:val="DefaultParagraphFont"/>
    <w:uiPriority w:val="20"/>
    <w:qFormat/>
    <w:rsid w:val="006B1E6C"/>
    <w:rPr>
      <w:i/>
      <w:iCs/>
    </w:rPr>
  </w:style>
  <w:style w:type="character" w:customStyle="1" w:styleId="normaltextrun">
    <w:name w:val="normaltextrun"/>
    <w:basedOn w:val="DefaultParagraphFont"/>
    <w:rsid w:val="00AE3425"/>
  </w:style>
  <w:style w:type="character" w:customStyle="1" w:styleId="eop">
    <w:name w:val="eop"/>
    <w:basedOn w:val="DefaultParagraphFont"/>
    <w:rsid w:val="00AE3425"/>
  </w:style>
  <w:style w:type="character" w:styleId="UnresolvedMention">
    <w:name w:val="Unresolved Mention"/>
    <w:basedOn w:val="DefaultParagraphFont"/>
    <w:uiPriority w:val="99"/>
    <w:semiHidden/>
    <w:unhideWhenUsed/>
    <w:rsid w:val="00A56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dercare.acl.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2.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3.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5.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CMS-10716 Carta de decisión de cobertura (español)</vt:lpstr>
    </vt:vector>
  </TitlesOfParts>
  <Company>CMS</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Carta de decisión de cobertura (español)</dc:title>
  <dc:subject>Aviso de Denegación de Cobertura Médica (español)</dc:subject>
  <dc:creator>CMS/MMCO</dc:creator>
  <cp:keywords>beneficiary notice, denial of coverage notice; CMS-10716; Organization/Coverage Determinations, English</cp:keywords>
  <cp:lastModifiedBy>Milly Valencia</cp:lastModifiedBy>
  <cp:revision>33</cp:revision>
  <cp:lastPrinted>2020-01-15T12:38:00Z</cp:lastPrinted>
  <dcterms:created xsi:type="dcterms:W3CDTF">2024-01-29T18:26:00Z</dcterms:created>
  <dcterms:modified xsi:type="dcterms:W3CDTF">2024-01-31T21:32:00Z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